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BE" w:rsidRPr="00B74CCF" w:rsidRDefault="00E104BE" w:rsidP="00E104BE">
      <w:pPr>
        <w:pStyle w:val="Heading1"/>
        <w:spacing w:before="0" w:after="0"/>
        <w:jc w:val="center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 xml:space="preserve">Ageing and Disability Commission </w:t>
      </w:r>
      <w:r w:rsidR="00B656AE">
        <w:rPr>
          <w:rFonts w:ascii="Public Sans" w:hAnsi="Public Sans"/>
          <w:b/>
          <w:color w:val="auto"/>
        </w:rPr>
        <w:t>d</w:t>
      </w:r>
      <w:r w:rsidRPr="00B74CCF">
        <w:rPr>
          <w:rFonts w:ascii="Public Sans" w:hAnsi="Public Sans"/>
          <w:b/>
          <w:color w:val="auto"/>
        </w:rPr>
        <w:t>ata</w:t>
      </w:r>
    </w:p>
    <w:p w:rsidR="00E104BE" w:rsidRPr="00B74CCF" w:rsidRDefault="00E104BE" w:rsidP="00E104BE">
      <w:pPr>
        <w:pStyle w:val="Heading1"/>
        <w:spacing w:before="120" w:after="0"/>
        <w:jc w:val="center"/>
        <w:rPr>
          <w:rFonts w:ascii="Public Sans" w:hAnsi="Public Sans"/>
          <w:b/>
          <w:color w:val="auto"/>
          <w:sz w:val="28"/>
        </w:rPr>
      </w:pPr>
      <w:r>
        <w:rPr>
          <w:rFonts w:ascii="Public Sans" w:hAnsi="Public Sans"/>
          <w:b/>
          <w:color w:val="auto"/>
          <w:sz w:val="28"/>
        </w:rPr>
        <w:t>1 January 2020</w:t>
      </w:r>
      <w:r w:rsidRPr="00B74CCF">
        <w:rPr>
          <w:rFonts w:ascii="Public Sans" w:hAnsi="Public Sans"/>
          <w:b/>
          <w:color w:val="auto"/>
          <w:sz w:val="28"/>
        </w:rPr>
        <w:t xml:space="preserve"> – </w:t>
      </w:r>
      <w:r>
        <w:rPr>
          <w:rFonts w:ascii="Public Sans" w:hAnsi="Public Sans"/>
          <w:b/>
          <w:color w:val="auto"/>
          <w:sz w:val="28"/>
        </w:rPr>
        <w:t xml:space="preserve">31 December </w:t>
      </w:r>
      <w:r w:rsidRPr="00B74CCF">
        <w:rPr>
          <w:rFonts w:ascii="Public Sans" w:hAnsi="Public Sans"/>
          <w:b/>
          <w:color w:val="auto"/>
          <w:sz w:val="28"/>
        </w:rPr>
        <w:t>202</w:t>
      </w:r>
      <w:r>
        <w:rPr>
          <w:rFonts w:ascii="Public Sans" w:hAnsi="Public Sans"/>
          <w:b/>
          <w:color w:val="auto"/>
          <w:sz w:val="28"/>
        </w:rPr>
        <w:t>2</w:t>
      </w:r>
    </w:p>
    <w:p w:rsidR="00E104BE" w:rsidRPr="00613AF2" w:rsidRDefault="00E104BE" w:rsidP="00E104BE">
      <w:pPr>
        <w:pStyle w:val="NoSpacing"/>
        <w:rPr>
          <w:rFonts w:ascii="Public Sans" w:hAnsi="Public Sans" w:cs="Segoe UI"/>
          <w:sz w:val="18"/>
        </w:rPr>
      </w:pPr>
    </w:p>
    <w:p w:rsidR="00E104BE" w:rsidRPr="00B74CCF" w:rsidRDefault="00E104BE" w:rsidP="00E104BE">
      <w:pPr>
        <w:pStyle w:val="Heading2"/>
        <w:numPr>
          <w:ilvl w:val="0"/>
          <w:numId w:val="1"/>
        </w:numPr>
        <w:spacing w:before="0"/>
        <w:ind w:left="426" w:hanging="426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 xml:space="preserve">Number of calls, enquiries and reports </w:t>
      </w:r>
    </w:p>
    <w:p w:rsidR="00E104BE" w:rsidRPr="00613AF2" w:rsidRDefault="00E104BE" w:rsidP="00E104BE">
      <w:pPr>
        <w:rPr>
          <w:rFonts w:ascii="Public Sans" w:hAnsi="Public Sans" w:cs="Segoe UI"/>
          <w:sz w:val="18"/>
        </w:rPr>
      </w:pPr>
    </w:p>
    <w:p w:rsidR="00E104BE" w:rsidRPr="00B74CCF" w:rsidRDefault="00E104BE" w:rsidP="00E104BE">
      <w:pPr>
        <w:pStyle w:val="Heading3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1.1</w:t>
      </w:r>
      <w:r w:rsidRPr="00B74CCF">
        <w:rPr>
          <w:rFonts w:ascii="Public Sans" w:hAnsi="Public Sans"/>
          <w:b/>
          <w:color w:val="auto"/>
        </w:rPr>
        <w:tab/>
        <w:t>Number of calls to the Ageing and Disability Abuse Helpline</w:t>
      </w:r>
    </w:p>
    <w:p w:rsidR="00E104BE" w:rsidRDefault="00E104BE" w:rsidP="00E104BE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hAnsi="Public Sans" w:cs="Segoe UI"/>
        </w:rPr>
      </w:pPr>
    </w:p>
    <w:p w:rsidR="00E104BE" w:rsidRPr="00965C05" w:rsidRDefault="0003075E" w:rsidP="00E104BE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eastAsia="Helvetica" w:hAnsi="Public Sans" w:cs="Segoe UI"/>
        </w:rPr>
      </w:pPr>
      <w:r>
        <w:rPr>
          <w:rFonts w:ascii="Public Sans" w:hAnsi="Public Sans" w:cs="Segoe UI"/>
        </w:rPr>
        <w:t>Between January 2020 and Decembe</w:t>
      </w:r>
      <w:bookmarkStart w:id="0" w:name="_GoBack"/>
      <w:bookmarkEnd w:id="0"/>
      <w:r>
        <w:rPr>
          <w:rFonts w:ascii="Public Sans" w:hAnsi="Public Sans" w:cs="Segoe UI"/>
        </w:rPr>
        <w:t xml:space="preserve">r 2022, the Helpline received </w:t>
      </w:r>
      <w:r w:rsidRPr="0003075E">
        <w:rPr>
          <w:rFonts w:ascii="Public Sans" w:hAnsi="Public Sans" w:cs="Segoe UI"/>
        </w:rPr>
        <w:t>38,216 calls</w:t>
      </w:r>
      <w:r>
        <w:rPr>
          <w:rFonts w:ascii="Public Sans" w:hAnsi="Public Sans" w:cs="Segoe UI"/>
        </w:rPr>
        <w:t xml:space="preserve">. </w:t>
      </w:r>
      <w:r w:rsidR="00E104BE">
        <w:rPr>
          <w:rFonts w:ascii="Public Sans" w:hAnsi="Public Sans" w:cs="Segoe UI"/>
        </w:rPr>
        <w:t xml:space="preserve">The number of calls to the Helpline has increased each year, including a </w:t>
      </w:r>
      <w:r w:rsidR="00E104BE" w:rsidRPr="0003075E">
        <w:rPr>
          <w:rFonts w:ascii="Public Sans" w:hAnsi="Public Sans" w:cs="Segoe UI"/>
          <w:b/>
        </w:rPr>
        <w:t xml:space="preserve">5.4% increase in 2021 </w:t>
      </w:r>
      <w:r w:rsidR="00E104BE">
        <w:rPr>
          <w:rFonts w:ascii="Public Sans" w:hAnsi="Public Sans" w:cs="Segoe UI"/>
        </w:rPr>
        <w:t xml:space="preserve">and an </w:t>
      </w:r>
      <w:r w:rsidR="00E104BE" w:rsidRPr="0003075E">
        <w:rPr>
          <w:rFonts w:ascii="Public Sans" w:hAnsi="Public Sans" w:cs="Segoe UI"/>
          <w:b/>
        </w:rPr>
        <w:t xml:space="preserve">8% </w:t>
      </w:r>
      <w:r w:rsidRPr="0003075E">
        <w:rPr>
          <w:rFonts w:ascii="Public Sans" w:hAnsi="Public Sans" w:cs="Segoe UI"/>
          <w:b/>
        </w:rPr>
        <w:t>increase</w:t>
      </w:r>
      <w:r w:rsidR="00E104BE" w:rsidRPr="0003075E">
        <w:rPr>
          <w:rFonts w:ascii="Public Sans" w:hAnsi="Public Sans" w:cs="Segoe UI"/>
          <w:b/>
        </w:rPr>
        <w:t xml:space="preserve"> in 2022</w:t>
      </w:r>
      <w:r w:rsidR="00E104BE">
        <w:rPr>
          <w:rFonts w:ascii="Public Sans" w:hAnsi="Public Sans" w:cs="Segoe UI"/>
        </w:rPr>
        <w:t xml:space="preserve">. </w:t>
      </w:r>
      <w:r>
        <w:rPr>
          <w:rFonts w:ascii="Public Sans" w:hAnsi="Public Sans" w:cs="Segoe UI"/>
        </w:rPr>
        <w:t xml:space="preserve">Over the three years, the Helpline received </w:t>
      </w:r>
      <w:r w:rsidR="00E104BE">
        <w:rPr>
          <w:rFonts w:ascii="Public Sans" w:hAnsi="Public Sans" w:cs="Segoe UI"/>
        </w:rPr>
        <w:t xml:space="preserve">a </w:t>
      </w:r>
      <w:r w:rsidR="00E104BE" w:rsidRPr="0003075E">
        <w:rPr>
          <w:rFonts w:ascii="Public Sans" w:hAnsi="Public Sans" w:cs="Segoe UI"/>
          <w:b/>
        </w:rPr>
        <w:t>13.8% increase</w:t>
      </w:r>
      <w:r w:rsidR="00E104BE">
        <w:rPr>
          <w:rFonts w:ascii="Public Sans" w:hAnsi="Public Sans" w:cs="Segoe UI"/>
        </w:rPr>
        <w:t xml:space="preserve"> in calls. </w:t>
      </w:r>
    </w:p>
    <w:p w:rsidR="00E90493" w:rsidRDefault="00E90493"/>
    <w:p w:rsidR="00E90493" w:rsidRPr="0003075E" w:rsidRDefault="0003075E" w:rsidP="0003075E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965C05">
        <w:rPr>
          <w:rFonts w:ascii="Public Sans" w:eastAsia="Helvetica" w:hAnsi="Public Sans" w:cs="Segoe UI"/>
          <w:b/>
          <w:sz w:val="18"/>
        </w:rPr>
        <w:t xml:space="preserve">Figure 1: Number of calls received by the Ageing and Disability Abuse Helpline, by </w:t>
      </w:r>
      <w:r w:rsidR="005565AE">
        <w:rPr>
          <w:rFonts w:ascii="Public Sans" w:eastAsia="Helvetica" w:hAnsi="Public Sans" w:cs="Segoe UI"/>
          <w:b/>
          <w:sz w:val="18"/>
        </w:rPr>
        <w:t xml:space="preserve">calendar </w:t>
      </w:r>
      <w:r>
        <w:rPr>
          <w:rFonts w:ascii="Public Sans" w:eastAsia="Helvetica" w:hAnsi="Public Sans" w:cs="Segoe UI"/>
          <w:b/>
          <w:sz w:val="18"/>
        </w:rPr>
        <w:t>year</w:t>
      </w:r>
      <w:r w:rsidRPr="00965C05">
        <w:rPr>
          <w:rFonts w:ascii="Public Sans" w:eastAsia="Helvetica" w:hAnsi="Public Sans" w:cs="Segoe UI"/>
          <w:b/>
          <w:sz w:val="18"/>
        </w:rPr>
        <w:t xml:space="preserve">, </w:t>
      </w:r>
      <w:r>
        <w:rPr>
          <w:rFonts w:ascii="Public Sans" w:eastAsia="Helvetica" w:hAnsi="Public Sans" w:cs="Segoe UI"/>
          <w:b/>
          <w:sz w:val="18"/>
        </w:rPr>
        <w:t>Jan</w:t>
      </w:r>
      <w:r w:rsidRPr="00965C05">
        <w:rPr>
          <w:rFonts w:ascii="Public Sans" w:eastAsia="Helvetica" w:hAnsi="Public Sans" w:cs="Segoe UI"/>
          <w:b/>
          <w:sz w:val="18"/>
        </w:rPr>
        <w:t xml:space="preserve"> 20</w:t>
      </w:r>
      <w:r>
        <w:rPr>
          <w:rFonts w:ascii="Public Sans" w:eastAsia="Helvetica" w:hAnsi="Public Sans" w:cs="Segoe UI"/>
          <w:b/>
          <w:sz w:val="18"/>
        </w:rPr>
        <w:t>20</w:t>
      </w:r>
      <w:r w:rsidRPr="00965C05">
        <w:rPr>
          <w:rFonts w:ascii="Public Sans" w:eastAsia="Helvetica" w:hAnsi="Public Sans" w:cs="Segoe UI"/>
          <w:b/>
          <w:sz w:val="18"/>
        </w:rPr>
        <w:t xml:space="preserve"> – </w:t>
      </w:r>
      <w:r>
        <w:rPr>
          <w:rFonts w:ascii="Public Sans" w:eastAsia="Helvetica" w:hAnsi="Public Sans" w:cs="Segoe UI"/>
          <w:b/>
          <w:sz w:val="18"/>
        </w:rPr>
        <w:t>Dec</w:t>
      </w:r>
      <w:r w:rsidRPr="00965C05">
        <w:rPr>
          <w:rFonts w:ascii="Public Sans" w:eastAsia="Helvetica" w:hAnsi="Public Sans" w:cs="Segoe UI"/>
          <w:b/>
          <w:sz w:val="18"/>
        </w:rPr>
        <w:t xml:space="preserve"> 2022</w:t>
      </w:r>
    </w:p>
    <w:p w:rsidR="00E90493" w:rsidRDefault="00E90493">
      <w:r>
        <w:rPr>
          <w:noProof/>
          <w:lang w:eastAsia="en-AU"/>
        </w:rPr>
        <w:drawing>
          <wp:inline distT="0" distB="0" distL="0" distR="0" wp14:anchorId="29E829D4" wp14:editId="7BE05732">
            <wp:extent cx="5943600" cy="17049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D48EA" w:rsidRDefault="007D48EA"/>
    <w:p w:rsidR="0003075E" w:rsidRPr="00B74CCF" w:rsidRDefault="0003075E" w:rsidP="0003075E">
      <w:pPr>
        <w:pStyle w:val="Heading3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1.2</w:t>
      </w:r>
      <w:r w:rsidRPr="00B74CCF">
        <w:rPr>
          <w:rFonts w:ascii="Public Sans" w:hAnsi="Public Sans"/>
          <w:b/>
          <w:color w:val="auto"/>
        </w:rPr>
        <w:tab/>
        <w:t>Number of reports and enquiries</w:t>
      </w:r>
    </w:p>
    <w:p w:rsidR="0003075E" w:rsidRPr="005576E4" w:rsidRDefault="0003075E" w:rsidP="00904533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Between 1 </w:t>
      </w:r>
      <w:r w:rsidR="00C73D51">
        <w:rPr>
          <w:rFonts w:ascii="Public Sans" w:eastAsia="Helvetica" w:hAnsi="Public Sans" w:cs="Segoe UI"/>
        </w:rPr>
        <w:t>January</w:t>
      </w:r>
      <w:r w:rsidRPr="005576E4">
        <w:rPr>
          <w:rFonts w:ascii="Public Sans" w:eastAsia="Helvetica" w:hAnsi="Public Sans" w:cs="Segoe UI"/>
        </w:rPr>
        <w:t xml:space="preserve"> </w:t>
      </w:r>
      <w:r w:rsidR="004F4505">
        <w:rPr>
          <w:rFonts w:ascii="Public Sans" w:eastAsia="Helvetica" w:hAnsi="Public Sans" w:cs="Segoe UI"/>
        </w:rPr>
        <w:t xml:space="preserve">2020 </w:t>
      </w:r>
      <w:r w:rsidRPr="005576E4">
        <w:rPr>
          <w:rFonts w:ascii="Public Sans" w:eastAsia="Helvetica" w:hAnsi="Public Sans" w:cs="Segoe UI"/>
        </w:rPr>
        <w:t>and 3</w:t>
      </w:r>
      <w:r>
        <w:rPr>
          <w:rFonts w:ascii="Public Sans" w:eastAsia="Helvetica" w:hAnsi="Public Sans" w:cs="Segoe UI"/>
        </w:rPr>
        <w:t>1 December</w:t>
      </w:r>
      <w:r w:rsidRPr="005576E4">
        <w:rPr>
          <w:rFonts w:ascii="Public Sans" w:eastAsia="Helvetica" w:hAnsi="Public Sans" w:cs="Segoe UI"/>
        </w:rPr>
        <w:t xml:space="preserve"> 202</w:t>
      </w:r>
      <w:r>
        <w:rPr>
          <w:rFonts w:ascii="Public Sans" w:eastAsia="Helvetica" w:hAnsi="Public Sans" w:cs="Segoe UI"/>
        </w:rPr>
        <w:t>2</w:t>
      </w:r>
      <w:r w:rsidRPr="005576E4">
        <w:rPr>
          <w:rFonts w:ascii="Public Sans" w:eastAsia="Helvetica" w:hAnsi="Public Sans" w:cs="Segoe UI"/>
        </w:rPr>
        <w:t xml:space="preserve">, the ADC received </w:t>
      </w:r>
      <w:r w:rsidR="00C73D51" w:rsidRPr="00C73D51">
        <w:rPr>
          <w:rFonts w:ascii="Public Sans" w:eastAsia="Helvetica" w:hAnsi="Public Sans" w:cs="Segoe UI"/>
          <w:b/>
        </w:rPr>
        <w:t>15</w:t>
      </w:r>
      <w:r w:rsidRPr="00C73D51">
        <w:rPr>
          <w:rFonts w:ascii="Public Sans" w:eastAsia="Helvetica" w:hAnsi="Public Sans" w:cs="Segoe UI"/>
          <w:b/>
        </w:rPr>
        <w:t>,</w:t>
      </w:r>
      <w:r w:rsidR="00C73D51">
        <w:rPr>
          <w:rFonts w:ascii="Public Sans" w:eastAsia="Helvetica" w:hAnsi="Public Sans" w:cs="Segoe UI"/>
          <w:b/>
        </w:rPr>
        <w:t>008</w:t>
      </w:r>
      <w:r>
        <w:rPr>
          <w:rFonts w:ascii="Public Sans" w:eastAsia="Helvetica" w:hAnsi="Public Sans" w:cs="Segoe UI"/>
          <w:b/>
        </w:rPr>
        <w:t xml:space="preserve"> </w:t>
      </w:r>
      <w:r w:rsidRPr="005576E4">
        <w:rPr>
          <w:rFonts w:ascii="Public Sans" w:eastAsia="Helvetica" w:hAnsi="Public Sans" w:cs="Segoe UI"/>
          <w:b/>
        </w:rPr>
        <w:t>matters</w:t>
      </w:r>
      <w:r w:rsidRPr="005576E4">
        <w:rPr>
          <w:rFonts w:ascii="Public Sans" w:eastAsia="Helvetica" w:hAnsi="Public Sans" w:cs="Segoe UI"/>
        </w:rPr>
        <w:t>, comprising:</w:t>
      </w:r>
    </w:p>
    <w:p w:rsidR="0003075E" w:rsidRPr="005576E4" w:rsidRDefault="00C73D51" w:rsidP="0003075E">
      <w:pPr>
        <w:pStyle w:val="Body"/>
        <w:widowControl w:val="0"/>
        <w:numPr>
          <w:ilvl w:val="0"/>
          <w:numId w:val="2"/>
        </w:numPr>
        <w:spacing w:before="120" w:after="0" w:line="240" w:lineRule="auto"/>
        <w:ind w:left="709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10,963</w:t>
      </w:r>
      <w:r w:rsidR="0003075E">
        <w:rPr>
          <w:rFonts w:ascii="Public Sans" w:eastAsia="Helvetica" w:hAnsi="Public Sans" w:cs="Segoe UI"/>
          <w:b/>
        </w:rPr>
        <w:t xml:space="preserve"> </w:t>
      </w:r>
      <w:r w:rsidR="0003075E" w:rsidRPr="005576E4">
        <w:rPr>
          <w:rFonts w:ascii="Public Sans" w:eastAsia="Helvetica" w:hAnsi="Public Sans" w:cs="Segoe UI"/>
          <w:b/>
        </w:rPr>
        <w:t>reports</w:t>
      </w:r>
      <w:r w:rsidR="0003075E" w:rsidRPr="005576E4">
        <w:rPr>
          <w:rFonts w:ascii="Public Sans" w:eastAsia="Helvetica" w:hAnsi="Public Sans" w:cs="Segoe UI"/>
        </w:rPr>
        <w:t xml:space="preserve"> under section 13 of the </w:t>
      </w:r>
      <w:r w:rsidR="0003075E" w:rsidRPr="005576E4">
        <w:rPr>
          <w:rFonts w:ascii="Public Sans" w:eastAsia="Helvetica" w:hAnsi="Public Sans" w:cs="Segoe UI"/>
          <w:i/>
        </w:rPr>
        <w:t>Ageing and Disability Commissioner Act 2019</w:t>
      </w:r>
    </w:p>
    <w:p w:rsidR="0003075E" w:rsidRPr="00C60D7C" w:rsidRDefault="00C73D51" w:rsidP="0003075E">
      <w:pPr>
        <w:pStyle w:val="Body"/>
        <w:widowControl w:val="0"/>
        <w:numPr>
          <w:ilvl w:val="0"/>
          <w:numId w:val="2"/>
        </w:numPr>
        <w:spacing w:before="120" w:after="0" w:line="240" w:lineRule="auto"/>
        <w:ind w:left="709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4,045</w:t>
      </w:r>
      <w:r w:rsidR="0003075E" w:rsidRPr="005576E4">
        <w:rPr>
          <w:rFonts w:ascii="Public Sans" w:eastAsia="Helvetica" w:hAnsi="Public Sans" w:cs="Segoe UI"/>
          <w:b/>
        </w:rPr>
        <w:t xml:space="preserve"> enquiries</w:t>
      </w:r>
      <w:r w:rsidR="0003075E">
        <w:rPr>
          <w:rFonts w:ascii="Public Sans" w:eastAsia="Helvetica" w:hAnsi="Public Sans" w:cs="Segoe UI"/>
        </w:rPr>
        <w:t xml:space="preserve"> – involving </w:t>
      </w:r>
      <w:r w:rsidR="00C60D7C">
        <w:rPr>
          <w:rFonts w:ascii="Public Sans" w:eastAsia="Helvetica" w:hAnsi="Public Sans" w:cs="Segoe UI"/>
        </w:rPr>
        <w:t>2,</w:t>
      </w:r>
      <w:r w:rsidR="00C60D7C" w:rsidRPr="00C60D7C">
        <w:rPr>
          <w:rFonts w:ascii="Public Sans" w:eastAsia="Helvetica" w:hAnsi="Public Sans" w:cs="Segoe UI"/>
        </w:rPr>
        <w:t>024</w:t>
      </w:r>
      <w:r w:rsidR="0003075E" w:rsidRPr="00C60D7C">
        <w:rPr>
          <w:rFonts w:ascii="Public Sans" w:eastAsia="Helvetica" w:hAnsi="Public Sans" w:cs="Segoe UI"/>
        </w:rPr>
        <w:t xml:space="preserve"> general enquiries, and </w:t>
      </w:r>
      <w:r w:rsidR="00C60D7C" w:rsidRPr="00C60D7C">
        <w:rPr>
          <w:rFonts w:ascii="Public Sans" w:eastAsia="Helvetica" w:hAnsi="Public Sans" w:cs="Segoe UI"/>
        </w:rPr>
        <w:t>2,021</w:t>
      </w:r>
      <w:r w:rsidR="0003075E" w:rsidRPr="00C60D7C">
        <w:rPr>
          <w:rFonts w:ascii="Public Sans" w:eastAsia="Helvetica" w:hAnsi="Public Sans" w:cs="Segoe UI"/>
        </w:rPr>
        <w:t xml:space="preserve"> abuse-related enquiries. </w:t>
      </w:r>
    </w:p>
    <w:p w:rsidR="0003075E" w:rsidRPr="00C60D7C" w:rsidRDefault="0003075E" w:rsidP="0003075E">
      <w:pPr>
        <w:rPr>
          <w:rFonts w:ascii="Public Sans" w:hAnsi="Public Sans" w:cs="Segoe UI"/>
          <w:b/>
          <w:sz w:val="20"/>
        </w:rPr>
      </w:pPr>
    </w:p>
    <w:p w:rsidR="0003075E" w:rsidRPr="005576E4" w:rsidRDefault="005565AE" w:rsidP="0003075E">
      <w:pPr>
        <w:rPr>
          <w:rFonts w:ascii="Public Sans" w:hAnsi="Public Sans" w:cs="Segoe UI"/>
        </w:rPr>
      </w:pPr>
      <w:r>
        <w:rPr>
          <w:rFonts w:ascii="Public Sans" w:hAnsi="Public Sans" w:cs="Segoe UI"/>
        </w:rPr>
        <w:t xml:space="preserve">The number of </w:t>
      </w:r>
      <w:r w:rsidRPr="005565AE">
        <w:rPr>
          <w:rFonts w:ascii="Public Sans" w:hAnsi="Public Sans" w:cs="Segoe UI"/>
          <w:b/>
        </w:rPr>
        <w:t>matters increased by 24.9%</w:t>
      </w:r>
      <w:r>
        <w:rPr>
          <w:rFonts w:ascii="Public Sans" w:hAnsi="Public Sans" w:cs="Segoe UI"/>
        </w:rPr>
        <w:t xml:space="preserve"> between 1 January 2020 and 31 December 2022. The main increase was in the number of reports, including a 29.8% increase in 2021 and a 7.8% increase in 2022. Overall, </w:t>
      </w:r>
      <w:r w:rsidRPr="005565AE">
        <w:rPr>
          <w:rFonts w:ascii="Public Sans" w:hAnsi="Public Sans" w:cs="Segoe UI"/>
          <w:b/>
        </w:rPr>
        <w:t>reports increased by 40%</w:t>
      </w:r>
      <w:r>
        <w:rPr>
          <w:rFonts w:ascii="Public Sans" w:hAnsi="Public Sans" w:cs="Segoe UI"/>
        </w:rPr>
        <w:t xml:space="preserve"> between 2020 and 2022. </w:t>
      </w:r>
    </w:p>
    <w:p w:rsidR="007D48EA" w:rsidRDefault="007D48EA"/>
    <w:p w:rsidR="00C73D51" w:rsidRPr="005565AE" w:rsidRDefault="005565AE">
      <w:pPr>
        <w:rPr>
          <w:rFonts w:ascii="Public Sans" w:eastAsia="Arial Unicode MS" w:hAnsi="Public Sans" w:cs="Segoe UI"/>
          <w:b/>
          <w:sz w:val="20"/>
          <w:szCs w:val="24"/>
        </w:rPr>
      </w:pPr>
      <w:r w:rsidRPr="00B74CCF">
        <w:rPr>
          <w:rFonts w:ascii="Public Sans" w:hAnsi="Public Sans" w:cs="Segoe UI"/>
          <w:b/>
          <w:sz w:val="18"/>
        </w:rPr>
        <w:t xml:space="preserve">Figure 2: 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All matters received by the ADC, by </w:t>
      </w:r>
      <w:r>
        <w:rPr>
          <w:rFonts w:ascii="Public Sans" w:eastAsia="Arial Unicode MS" w:hAnsi="Public Sans" w:cs="Segoe UI"/>
          <w:b/>
          <w:sz w:val="18"/>
          <w:szCs w:val="24"/>
        </w:rPr>
        <w:t>calendar year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>,</w:t>
      </w:r>
      <w:r>
        <w:rPr>
          <w:rFonts w:ascii="Public Sans" w:eastAsia="Arial Unicode MS" w:hAnsi="Public Sans" w:cs="Segoe UI"/>
          <w:b/>
          <w:sz w:val="18"/>
          <w:szCs w:val="24"/>
        </w:rPr>
        <w:t xml:space="preserve"> Jan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20</w:t>
      </w:r>
      <w:r>
        <w:rPr>
          <w:rFonts w:ascii="Public Sans" w:eastAsia="Arial Unicode MS" w:hAnsi="Public Sans" w:cs="Segoe UI"/>
          <w:b/>
          <w:sz w:val="18"/>
          <w:szCs w:val="24"/>
        </w:rPr>
        <w:t>20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– </w:t>
      </w:r>
      <w:r>
        <w:rPr>
          <w:rFonts w:ascii="Public Sans" w:eastAsia="Arial Unicode MS" w:hAnsi="Public Sans" w:cs="Segoe UI"/>
          <w:b/>
          <w:sz w:val="18"/>
          <w:szCs w:val="24"/>
        </w:rPr>
        <w:t>Dec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 202</w:t>
      </w:r>
      <w:r>
        <w:rPr>
          <w:rFonts w:ascii="Public Sans" w:eastAsia="Arial Unicode MS" w:hAnsi="Public Sans" w:cs="Segoe UI"/>
          <w:b/>
          <w:sz w:val="18"/>
          <w:szCs w:val="24"/>
        </w:rPr>
        <w:t>2</w:t>
      </w:r>
    </w:p>
    <w:p w:rsidR="00E90493" w:rsidRDefault="007D48EA">
      <w:r>
        <w:rPr>
          <w:noProof/>
          <w:lang w:eastAsia="en-AU"/>
        </w:rPr>
        <w:drawing>
          <wp:inline distT="0" distB="0" distL="0" distR="0" wp14:anchorId="31A4FBE9" wp14:editId="1F5B4E5E">
            <wp:extent cx="5895975" cy="20002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530" w:rsidRPr="00B74CCF" w:rsidRDefault="006B0530" w:rsidP="006B0530">
      <w:pPr>
        <w:pStyle w:val="Heading1"/>
        <w:numPr>
          <w:ilvl w:val="0"/>
          <w:numId w:val="1"/>
        </w:numPr>
        <w:spacing w:before="0" w:after="0"/>
        <w:ind w:left="426" w:hanging="426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lastRenderedPageBreak/>
        <w:t xml:space="preserve">Person status and demographics </w:t>
      </w:r>
    </w:p>
    <w:p w:rsidR="006B0530" w:rsidRPr="00B74CCF" w:rsidRDefault="006B0530" w:rsidP="006B0530">
      <w:pPr>
        <w:rPr>
          <w:rFonts w:ascii="Public Sans" w:hAnsi="Public Sans"/>
        </w:rPr>
      </w:pPr>
    </w:p>
    <w:p w:rsidR="006B0530" w:rsidRPr="00B74CCF" w:rsidRDefault="006B0530" w:rsidP="006B0530">
      <w:pPr>
        <w:pStyle w:val="Heading2"/>
        <w:spacing w:before="0"/>
        <w:rPr>
          <w:rFonts w:ascii="Public Sans" w:hAnsi="Public Sans"/>
          <w:b/>
          <w:color w:val="auto"/>
        </w:rPr>
      </w:pPr>
      <w:r w:rsidRPr="00B74CCF">
        <w:rPr>
          <w:rFonts w:ascii="Public Sans" w:hAnsi="Public Sans"/>
          <w:b/>
          <w:color w:val="auto"/>
        </w:rPr>
        <w:t>2.1</w:t>
      </w:r>
      <w:r w:rsidRPr="00B74CCF">
        <w:rPr>
          <w:rFonts w:ascii="Public Sans" w:hAnsi="Public Sans"/>
          <w:b/>
          <w:color w:val="auto"/>
        </w:rPr>
        <w:tab/>
        <w:t>Person status</w:t>
      </w:r>
    </w:p>
    <w:p w:rsidR="006B0530" w:rsidRPr="005576E4" w:rsidRDefault="006B0530" w:rsidP="006B053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:rsidR="006B0530" w:rsidRPr="005576E4" w:rsidRDefault="006B0530" w:rsidP="006B053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Of the </w:t>
      </w:r>
      <w:r w:rsidR="00825F29">
        <w:rPr>
          <w:rFonts w:ascii="Public Sans" w:eastAsia="Helvetica" w:hAnsi="Public Sans" w:cs="Segoe UI"/>
        </w:rPr>
        <w:t>10,963</w:t>
      </w:r>
      <w:r w:rsidRPr="005576E4">
        <w:rPr>
          <w:rFonts w:ascii="Public Sans" w:eastAsia="Helvetica" w:hAnsi="Public Sans" w:cs="Segoe UI"/>
        </w:rPr>
        <w:t xml:space="preserve"> reports received by the ADC </w:t>
      </w:r>
      <w:r>
        <w:rPr>
          <w:rFonts w:ascii="Public Sans" w:eastAsia="Helvetica" w:hAnsi="Public Sans" w:cs="Segoe UI"/>
        </w:rPr>
        <w:t>in</w:t>
      </w:r>
      <w:r w:rsidRPr="005576E4">
        <w:rPr>
          <w:rFonts w:ascii="Public Sans" w:eastAsia="Helvetica" w:hAnsi="Public Sans" w:cs="Segoe UI"/>
        </w:rPr>
        <w:t xml:space="preserve"> </w:t>
      </w:r>
      <w:r w:rsidR="00825F29">
        <w:rPr>
          <w:rFonts w:ascii="Public Sans" w:eastAsia="Helvetica" w:hAnsi="Public Sans" w:cs="Segoe UI"/>
        </w:rPr>
        <w:t>2020</w:t>
      </w:r>
      <w:r w:rsidRPr="005576E4">
        <w:rPr>
          <w:rFonts w:ascii="Public Sans" w:eastAsia="Helvetica" w:hAnsi="Public Sans" w:cs="Segoe UI"/>
        </w:rPr>
        <w:t xml:space="preserve"> </w:t>
      </w:r>
      <w:r>
        <w:rPr>
          <w:rFonts w:ascii="Public Sans" w:eastAsia="Helvetica" w:hAnsi="Public Sans" w:cs="Segoe UI"/>
        </w:rPr>
        <w:t xml:space="preserve">– </w:t>
      </w:r>
      <w:r w:rsidRPr="005576E4">
        <w:rPr>
          <w:rFonts w:ascii="Public Sans" w:eastAsia="Helvetica" w:hAnsi="Public Sans" w:cs="Segoe UI"/>
        </w:rPr>
        <w:t>202</w:t>
      </w:r>
      <w:r>
        <w:rPr>
          <w:rFonts w:ascii="Public Sans" w:eastAsia="Helvetica" w:hAnsi="Public Sans" w:cs="Segoe UI"/>
        </w:rPr>
        <w:t>2</w:t>
      </w:r>
      <w:r w:rsidRPr="005576E4">
        <w:rPr>
          <w:rFonts w:ascii="Public Sans" w:eastAsia="Helvetica" w:hAnsi="Public Sans" w:cs="Segoe UI"/>
        </w:rPr>
        <w:t>:</w:t>
      </w:r>
    </w:p>
    <w:p w:rsidR="006B0530" w:rsidRPr="005576E4" w:rsidRDefault="00825F29" w:rsidP="006B0530">
      <w:pPr>
        <w:pStyle w:val="Body"/>
        <w:widowControl w:val="0"/>
        <w:numPr>
          <w:ilvl w:val="0"/>
          <w:numId w:val="3"/>
        </w:numPr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 xml:space="preserve">8,462 </w:t>
      </w:r>
      <w:r w:rsidR="006B0530" w:rsidRPr="005576E4">
        <w:rPr>
          <w:rFonts w:ascii="Public Sans" w:eastAsia="Helvetica" w:hAnsi="Public Sans" w:cs="Segoe UI"/>
          <w:b/>
        </w:rPr>
        <w:t>reports (</w:t>
      </w:r>
      <w:r w:rsidR="006B0530">
        <w:rPr>
          <w:rFonts w:ascii="Public Sans" w:eastAsia="Helvetica" w:hAnsi="Public Sans" w:cs="Segoe UI"/>
          <w:b/>
        </w:rPr>
        <w:t>7</w:t>
      </w:r>
      <w:r>
        <w:rPr>
          <w:rFonts w:ascii="Public Sans" w:eastAsia="Helvetica" w:hAnsi="Public Sans" w:cs="Segoe UI"/>
          <w:b/>
        </w:rPr>
        <w:t>7</w:t>
      </w:r>
      <w:r w:rsidR="006B0530">
        <w:rPr>
          <w:rFonts w:ascii="Public Sans" w:eastAsia="Helvetica" w:hAnsi="Public Sans" w:cs="Segoe UI"/>
          <w:b/>
        </w:rPr>
        <w:t>.</w:t>
      </w:r>
      <w:r>
        <w:rPr>
          <w:rFonts w:ascii="Public Sans" w:eastAsia="Helvetica" w:hAnsi="Public Sans" w:cs="Segoe UI"/>
          <w:b/>
        </w:rPr>
        <w:t>2</w:t>
      </w:r>
      <w:r w:rsidR="006B0530" w:rsidRPr="005576E4">
        <w:rPr>
          <w:rFonts w:ascii="Public Sans" w:eastAsia="Helvetica" w:hAnsi="Public Sans" w:cs="Segoe UI"/>
          <w:b/>
        </w:rPr>
        <w:t>%) involved older people</w:t>
      </w:r>
      <w:r w:rsidR="006B0530" w:rsidRPr="005576E4">
        <w:rPr>
          <w:rStyle w:val="FootnoteReference"/>
          <w:rFonts w:ascii="Public Sans" w:eastAsia="Helvetica" w:hAnsi="Public Sans" w:cs="Segoe UI"/>
        </w:rPr>
        <w:footnoteReference w:id="1"/>
      </w:r>
      <w:r w:rsidR="006B0530" w:rsidRPr="005576E4">
        <w:rPr>
          <w:rFonts w:ascii="Public Sans" w:eastAsia="Helvetica" w:hAnsi="Public Sans" w:cs="Segoe UI"/>
        </w:rPr>
        <w:t xml:space="preserve">, including </w:t>
      </w:r>
      <w:r w:rsidR="006B0530">
        <w:rPr>
          <w:rFonts w:ascii="Public Sans" w:eastAsia="Helvetica" w:hAnsi="Public Sans" w:cs="Segoe UI"/>
        </w:rPr>
        <w:t>2</w:t>
      </w:r>
      <w:r>
        <w:rPr>
          <w:rFonts w:ascii="Public Sans" w:eastAsia="Helvetica" w:hAnsi="Public Sans" w:cs="Segoe UI"/>
        </w:rPr>
        <w:t>,752</w:t>
      </w:r>
      <w:r w:rsidR="006B0530" w:rsidRPr="005576E4">
        <w:rPr>
          <w:rFonts w:ascii="Public Sans" w:eastAsia="Helvetica" w:hAnsi="Public Sans" w:cs="Segoe UI"/>
        </w:rPr>
        <w:t xml:space="preserve"> reports relating to older people with disability </w:t>
      </w:r>
    </w:p>
    <w:p w:rsidR="006B0530" w:rsidRPr="005576E4" w:rsidRDefault="006B0530" w:rsidP="006B0530">
      <w:pPr>
        <w:pStyle w:val="Body"/>
        <w:widowControl w:val="0"/>
        <w:numPr>
          <w:ilvl w:val="0"/>
          <w:numId w:val="3"/>
        </w:numPr>
        <w:spacing w:before="120" w:after="0" w:line="240" w:lineRule="auto"/>
        <w:ind w:left="714" w:hanging="357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  <w:b/>
        </w:rPr>
        <w:t>2</w:t>
      </w:r>
      <w:r w:rsidR="00702777">
        <w:rPr>
          <w:rFonts w:ascii="Public Sans" w:eastAsia="Helvetica" w:hAnsi="Public Sans" w:cs="Segoe UI"/>
          <w:b/>
        </w:rPr>
        <w:t>,501</w:t>
      </w:r>
      <w:r w:rsidRPr="005576E4">
        <w:rPr>
          <w:rFonts w:ascii="Public Sans" w:eastAsia="Helvetica" w:hAnsi="Public Sans" w:cs="Segoe UI"/>
          <w:b/>
        </w:rPr>
        <w:t xml:space="preserve"> reports (</w:t>
      </w:r>
      <w:r>
        <w:rPr>
          <w:rFonts w:ascii="Public Sans" w:eastAsia="Helvetica" w:hAnsi="Public Sans" w:cs="Segoe UI"/>
          <w:b/>
        </w:rPr>
        <w:t>2</w:t>
      </w:r>
      <w:r w:rsidR="00702777">
        <w:rPr>
          <w:rFonts w:ascii="Public Sans" w:eastAsia="Helvetica" w:hAnsi="Public Sans" w:cs="Segoe UI"/>
          <w:b/>
        </w:rPr>
        <w:t>2</w:t>
      </w:r>
      <w:r>
        <w:rPr>
          <w:rFonts w:ascii="Public Sans" w:eastAsia="Helvetica" w:hAnsi="Public Sans" w:cs="Segoe UI"/>
          <w:b/>
        </w:rPr>
        <w:t>.</w:t>
      </w:r>
      <w:r w:rsidR="00702777">
        <w:rPr>
          <w:rFonts w:ascii="Public Sans" w:eastAsia="Helvetica" w:hAnsi="Public Sans" w:cs="Segoe UI"/>
          <w:b/>
        </w:rPr>
        <w:t>8</w:t>
      </w:r>
      <w:r w:rsidRPr="005576E4">
        <w:rPr>
          <w:rFonts w:ascii="Public Sans" w:eastAsia="Helvetica" w:hAnsi="Public Sans" w:cs="Segoe UI"/>
          <w:b/>
        </w:rPr>
        <w:t>%) involved adults with disability</w:t>
      </w:r>
      <w:r w:rsidRPr="005576E4">
        <w:rPr>
          <w:rStyle w:val="FootnoteReference"/>
          <w:rFonts w:ascii="Public Sans" w:eastAsia="Helvetica" w:hAnsi="Public Sans" w:cs="Segoe UI"/>
        </w:rPr>
        <w:footnoteReference w:id="2"/>
      </w:r>
      <w:r w:rsidRPr="005576E4">
        <w:rPr>
          <w:rFonts w:ascii="Public Sans" w:eastAsia="Helvetica" w:hAnsi="Public Sans" w:cs="Segoe UI"/>
        </w:rPr>
        <w:t xml:space="preserve"> who were not older people.</w:t>
      </w:r>
    </w:p>
    <w:p w:rsidR="00E14C6E" w:rsidRDefault="00E14C6E"/>
    <w:p w:rsidR="00702777" w:rsidRPr="00D84C76" w:rsidRDefault="00D84C76">
      <w:pPr>
        <w:rPr>
          <w:rFonts w:ascii="Public Sans" w:hAnsi="Public Sans"/>
        </w:rPr>
      </w:pPr>
      <w:r w:rsidRPr="00D84C76">
        <w:rPr>
          <w:rFonts w:ascii="Public Sans" w:hAnsi="Public Sans"/>
        </w:rPr>
        <w:t xml:space="preserve">There has been a </w:t>
      </w:r>
      <w:r>
        <w:rPr>
          <w:rFonts w:ascii="Public Sans" w:hAnsi="Public Sans"/>
        </w:rPr>
        <w:t>slight</w:t>
      </w:r>
      <w:r w:rsidRPr="00D84C76">
        <w:rPr>
          <w:rFonts w:ascii="Public Sans" w:hAnsi="Public Sans"/>
        </w:rPr>
        <w:t xml:space="preserve"> increase in the proportion of reports involving adults with disability (who are not older people), increasing from 22.5% in 2020 and 2021, to 23.4% in 2022. </w:t>
      </w:r>
    </w:p>
    <w:p w:rsidR="00C60D7C" w:rsidRPr="00C60D7C" w:rsidRDefault="00C60D7C" w:rsidP="00C60D7C">
      <w:pPr>
        <w:rPr>
          <w:rFonts w:ascii="Public Sans" w:eastAsia="Arial Unicode MS" w:hAnsi="Public Sans" w:cs="Segoe UI"/>
          <w:sz w:val="18"/>
          <w:szCs w:val="24"/>
        </w:rPr>
      </w:pPr>
    </w:p>
    <w:p w:rsidR="00D84C76" w:rsidRPr="00D84C76" w:rsidRDefault="00C60D7C">
      <w:pPr>
        <w:rPr>
          <w:rFonts w:ascii="Public Sans" w:hAnsi="Public Sans"/>
        </w:rPr>
      </w:pPr>
      <w:r w:rsidRPr="00B74CCF">
        <w:rPr>
          <w:rFonts w:ascii="Public Sans" w:eastAsia="Arial Unicode MS" w:hAnsi="Public Sans" w:cs="Segoe UI"/>
          <w:b/>
          <w:sz w:val="18"/>
          <w:szCs w:val="24"/>
        </w:rPr>
        <w:t xml:space="preserve">Figure 3: All reports received by the ADC, by cohort, </w:t>
      </w:r>
      <w:r>
        <w:rPr>
          <w:rFonts w:ascii="Public Sans" w:eastAsia="Arial Unicode MS" w:hAnsi="Public Sans" w:cs="Segoe UI"/>
          <w:b/>
          <w:sz w:val="18"/>
          <w:szCs w:val="24"/>
        </w:rPr>
        <w:t>by calendar year, 2020-</w:t>
      </w:r>
      <w:r w:rsidRPr="00B74CCF">
        <w:rPr>
          <w:rFonts w:ascii="Public Sans" w:eastAsia="Arial Unicode MS" w:hAnsi="Public Sans" w:cs="Segoe UI"/>
          <w:b/>
          <w:sz w:val="18"/>
          <w:szCs w:val="24"/>
        </w:rPr>
        <w:t>2</w:t>
      </w:r>
      <w:r>
        <w:rPr>
          <w:rFonts w:ascii="Public Sans" w:eastAsia="Arial Unicode MS" w:hAnsi="Public Sans" w:cs="Segoe UI"/>
          <w:b/>
          <w:sz w:val="18"/>
          <w:szCs w:val="24"/>
        </w:rPr>
        <w:t>2</w:t>
      </w:r>
    </w:p>
    <w:p w:rsidR="00702777" w:rsidRDefault="00D84C76">
      <w:r>
        <w:rPr>
          <w:noProof/>
          <w:lang w:eastAsia="en-AU"/>
        </w:rPr>
        <w:drawing>
          <wp:inline distT="0" distB="0" distL="0" distR="0" wp14:anchorId="7D175ECA" wp14:editId="01B555C6">
            <wp:extent cx="5924550" cy="24003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2777" w:rsidRDefault="00702777"/>
    <w:p w:rsidR="00A83384" w:rsidRDefault="00A83384" w:rsidP="00A83384"/>
    <w:p w:rsidR="00711607" w:rsidRPr="0084215E" w:rsidRDefault="00711607" w:rsidP="00A83384"/>
    <w:p w:rsidR="00A83384" w:rsidRPr="00B74CCF" w:rsidRDefault="00A83384" w:rsidP="00A83384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B74CCF">
        <w:rPr>
          <w:rFonts w:ascii="Public Sans" w:eastAsia="Helvetica" w:hAnsi="Public Sans"/>
          <w:b/>
          <w:color w:val="auto"/>
        </w:rPr>
        <w:t xml:space="preserve">2.2 </w:t>
      </w:r>
      <w:r w:rsidRPr="00B74CCF">
        <w:rPr>
          <w:rFonts w:ascii="Public Sans" w:eastAsia="Helvetica" w:hAnsi="Public Sans"/>
          <w:b/>
          <w:color w:val="auto"/>
        </w:rPr>
        <w:tab/>
        <w:t xml:space="preserve">Aboriginal and Torres Strait Islander </w:t>
      </w:r>
      <w:r>
        <w:rPr>
          <w:rFonts w:ascii="Public Sans" w:eastAsia="Helvetica" w:hAnsi="Public Sans"/>
          <w:b/>
          <w:color w:val="auto"/>
        </w:rPr>
        <w:t>background</w:t>
      </w:r>
    </w:p>
    <w:p w:rsidR="00A83384" w:rsidRPr="005576E4" w:rsidRDefault="00A83384" w:rsidP="00A83384">
      <w:pPr>
        <w:spacing w:before="120"/>
        <w:rPr>
          <w:rFonts w:ascii="Public Sans" w:hAnsi="Public Sans"/>
        </w:rPr>
      </w:pPr>
      <w:r w:rsidRPr="005576E4">
        <w:rPr>
          <w:rFonts w:ascii="Public Sans" w:hAnsi="Public Sans"/>
        </w:rPr>
        <w:t>In 2.</w:t>
      </w:r>
      <w:r w:rsidR="00F813E7">
        <w:rPr>
          <w:rFonts w:ascii="Public Sans" w:hAnsi="Public Sans"/>
        </w:rPr>
        <w:t>7</w:t>
      </w:r>
      <w:r w:rsidRPr="005576E4">
        <w:rPr>
          <w:rFonts w:ascii="Public Sans" w:hAnsi="Public Sans"/>
        </w:rPr>
        <w:t xml:space="preserve">% of reports to the ADC in </w:t>
      </w:r>
      <w:r w:rsidR="00F813E7">
        <w:rPr>
          <w:rFonts w:ascii="Public Sans" w:hAnsi="Public Sans"/>
        </w:rPr>
        <w:t>2020</w:t>
      </w:r>
      <w:r>
        <w:rPr>
          <w:rFonts w:ascii="Public Sans" w:hAnsi="Public Sans"/>
        </w:rPr>
        <w:t xml:space="preserve"> </w:t>
      </w:r>
      <w:r w:rsidRPr="005576E4">
        <w:rPr>
          <w:rFonts w:ascii="Public Sans" w:hAnsi="Public Sans"/>
        </w:rPr>
        <w:t>– 202</w:t>
      </w:r>
      <w:r>
        <w:rPr>
          <w:rFonts w:ascii="Public Sans" w:hAnsi="Public Sans"/>
        </w:rPr>
        <w:t>2</w:t>
      </w:r>
      <w:r w:rsidRPr="005576E4">
        <w:rPr>
          <w:rFonts w:ascii="Public Sans" w:hAnsi="Public Sans"/>
        </w:rPr>
        <w:t xml:space="preserve">, the adult with disability or older person was identified as Aboriginal. </w:t>
      </w:r>
    </w:p>
    <w:p w:rsidR="00A83384" w:rsidRPr="005576E4" w:rsidRDefault="00A83384" w:rsidP="00A83384">
      <w:pPr>
        <w:rPr>
          <w:rFonts w:ascii="Public Sans" w:hAnsi="Public Sans"/>
          <w:highlight w:val="yellow"/>
        </w:rPr>
      </w:pPr>
    </w:p>
    <w:p w:rsidR="00A83384" w:rsidRPr="005576E4" w:rsidRDefault="00A83384" w:rsidP="00A83384">
      <w:pPr>
        <w:rPr>
          <w:rFonts w:ascii="Public Sans" w:hAnsi="Public Sans" w:cs="Segoe UI"/>
          <w:b/>
          <w:sz w:val="20"/>
        </w:rPr>
      </w:pPr>
      <w:r w:rsidRPr="005576E4">
        <w:rPr>
          <w:rFonts w:ascii="Public Sans" w:hAnsi="Public Sans" w:cs="Segoe UI"/>
          <w:b/>
          <w:sz w:val="20"/>
        </w:rPr>
        <w:t xml:space="preserve">Table 1: Aboriginal and Torres Strait Islander </w:t>
      </w:r>
      <w:r w:rsidR="008E0683">
        <w:rPr>
          <w:rFonts w:ascii="Public Sans" w:hAnsi="Public Sans" w:cs="Segoe UI"/>
          <w:b/>
          <w:sz w:val="20"/>
        </w:rPr>
        <w:t>status</w:t>
      </w:r>
      <w:r w:rsidRPr="005576E4">
        <w:rPr>
          <w:rFonts w:ascii="Public Sans" w:hAnsi="Public Sans" w:cs="Segoe UI"/>
          <w:b/>
          <w:sz w:val="20"/>
        </w:rPr>
        <w:t xml:space="preserve"> of person the subject of a report to the ADC, by person status, </w:t>
      </w:r>
      <w:r w:rsidR="00F813E7">
        <w:rPr>
          <w:rFonts w:ascii="Public Sans" w:hAnsi="Public Sans" w:cs="Segoe UI"/>
          <w:b/>
          <w:sz w:val="20"/>
        </w:rPr>
        <w:t>2020-</w:t>
      </w:r>
      <w:r w:rsidRPr="005576E4">
        <w:rPr>
          <w:rFonts w:ascii="Public Sans" w:hAnsi="Public Sans" w:cs="Segoe UI"/>
          <w:b/>
          <w:sz w:val="20"/>
        </w:rPr>
        <w:t>2</w:t>
      </w:r>
      <w:r>
        <w:rPr>
          <w:rFonts w:ascii="Public Sans" w:hAnsi="Public Sans" w:cs="Segoe UI"/>
          <w:b/>
          <w:sz w:val="20"/>
        </w:rPr>
        <w:t>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276"/>
        <w:gridCol w:w="1417"/>
        <w:gridCol w:w="1418"/>
        <w:gridCol w:w="1276"/>
      </w:tblGrid>
      <w:tr w:rsidR="00F813E7" w:rsidRPr="005478F6" w:rsidTr="00A115F0">
        <w:tc>
          <w:tcPr>
            <w:tcW w:w="1702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rPr>
                <w:rFonts w:ascii="Public Sans" w:hAnsi="Public Sans"/>
                <w:b/>
                <w:sz w:val="2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Older people (n=8,462)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% of reports about older people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Adults with disability (n=2,501)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% of reports about adults with disability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All reports (n=10,963)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% of all reports</w:t>
            </w:r>
          </w:p>
        </w:tc>
      </w:tr>
      <w:tr w:rsidR="00F813E7" w:rsidRPr="005478F6" w:rsidTr="00A115F0">
        <w:tc>
          <w:tcPr>
            <w:tcW w:w="1702" w:type="dxa"/>
          </w:tcPr>
          <w:p w:rsidR="00F813E7" w:rsidRPr="005478F6" w:rsidRDefault="00F813E7" w:rsidP="00A115F0">
            <w:pPr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Person identified as Aboriginal and/or Torres Strait Islander</w:t>
            </w:r>
          </w:p>
        </w:tc>
        <w:tc>
          <w:tcPr>
            <w:tcW w:w="1276" w:type="dxa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217</w:t>
            </w:r>
          </w:p>
        </w:tc>
        <w:tc>
          <w:tcPr>
            <w:tcW w:w="1417" w:type="dxa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2.6</w:t>
            </w:r>
          </w:p>
        </w:tc>
        <w:tc>
          <w:tcPr>
            <w:tcW w:w="1276" w:type="dxa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77</w:t>
            </w:r>
          </w:p>
        </w:tc>
        <w:tc>
          <w:tcPr>
            <w:tcW w:w="1417" w:type="dxa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3.1</w:t>
            </w:r>
          </w:p>
        </w:tc>
        <w:tc>
          <w:tcPr>
            <w:tcW w:w="1418" w:type="dxa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294</w:t>
            </w:r>
          </w:p>
        </w:tc>
        <w:tc>
          <w:tcPr>
            <w:tcW w:w="1276" w:type="dxa"/>
          </w:tcPr>
          <w:p w:rsidR="00F813E7" w:rsidRPr="005478F6" w:rsidRDefault="00F813E7" w:rsidP="00A115F0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2.7</w:t>
            </w:r>
          </w:p>
        </w:tc>
      </w:tr>
    </w:tbl>
    <w:p w:rsidR="00A83384" w:rsidRDefault="00A83384" w:rsidP="00A83384">
      <w:pPr>
        <w:rPr>
          <w:rFonts w:ascii="Public Sans" w:hAnsi="Public Sans" w:cs="Segoe UI"/>
          <w:b/>
        </w:rPr>
      </w:pPr>
    </w:p>
    <w:p w:rsidR="00F813E7" w:rsidRDefault="00F813E7" w:rsidP="00A83384">
      <w:pPr>
        <w:rPr>
          <w:rFonts w:ascii="Public Sans" w:hAnsi="Public Sans" w:cs="Segoe UI"/>
        </w:rPr>
      </w:pPr>
    </w:p>
    <w:p w:rsidR="00A83384" w:rsidRPr="00801D7B" w:rsidRDefault="00A83384" w:rsidP="00A83384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801D7B">
        <w:rPr>
          <w:rFonts w:ascii="Public Sans" w:eastAsia="Helvetica" w:hAnsi="Public Sans"/>
          <w:b/>
          <w:color w:val="auto"/>
        </w:rPr>
        <w:t xml:space="preserve">2.3 </w:t>
      </w:r>
      <w:r w:rsidRPr="00801D7B">
        <w:rPr>
          <w:rFonts w:ascii="Public Sans" w:eastAsia="Helvetica" w:hAnsi="Public Sans"/>
          <w:b/>
          <w:color w:val="auto"/>
        </w:rPr>
        <w:tab/>
        <w:t xml:space="preserve">Culturally and linguistically diverse background </w:t>
      </w:r>
    </w:p>
    <w:p w:rsidR="00A83384" w:rsidRPr="005576E4" w:rsidRDefault="00A83384" w:rsidP="00A83384">
      <w:pPr>
        <w:spacing w:before="120"/>
        <w:rPr>
          <w:rFonts w:ascii="Public Sans" w:hAnsi="Public Sans"/>
        </w:rPr>
      </w:pPr>
      <w:r w:rsidRPr="005576E4">
        <w:rPr>
          <w:rFonts w:ascii="Public Sans" w:hAnsi="Public Sans"/>
        </w:rPr>
        <w:t xml:space="preserve">In </w:t>
      </w:r>
      <w:r w:rsidR="009E636E">
        <w:rPr>
          <w:rFonts w:ascii="Public Sans" w:hAnsi="Public Sans"/>
        </w:rPr>
        <w:t>6.9</w:t>
      </w:r>
      <w:r w:rsidRPr="005576E4">
        <w:rPr>
          <w:rFonts w:ascii="Public Sans" w:hAnsi="Public Sans"/>
        </w:rPr>
        <w:t xml:space="preserve">% of reports to the ADC in </w:t>
      </w:r>
      <w:r w:rsidR="00F813E7">
        <w:rPr>
          <w:rFonts w:ascii="Public Sans" w:hAnsi="Public Sans"/>
        </w:rPr>
        <w:t>2020 –</w:t>
      </w:r>
      <w:r w:rsidRPr="005576E4">
        <w:rPr>
          <w:rFonts w:ascii="Public Sans" w:hAnsi="Public Sans"/>
        </w:rPr>
        <w:t xml:space="preserve"> 202</w:t>
      </w:r>
      <w:r>
        <w:rPr>
          <w:rFonts w:ascii="Public Sans" w:hAnsi="Public Sans"/>
        </w:rPr>
        <w:t>2</w:t>
      </w:r>
      <w:r w:rsidRPr="005576E4">
        <w:rPr>
          <w:rFonts w:ascii="Public Sans" w:hAnsi="Public Sans"/>
        </w:rPr>
        <w:t xml:space="preserve">, the adult with disability or older person was identified as having a culturally and linguistically diverse (CALD) background. </w:t>
      </w:r>
    </w:p>
    <w:p w:rsidR="00A83384" w:rsidRPr="005576E4" w:rsidRDefault="00A83384" w:rsidP="00A83384">
      <w:pPr>
        <w:rPr>
          <w:rFonts w:ascii="Public Sans" w:hAnsi="Public Sans"/>
        </w:rPr>
      </w:pPr>
    </w:p>
    <w:p w:rsidR="00A83384" w:rsidRPr="00F75B36" w:rsidRDefault="00A83384" w:rsidP="00A83384">
      <w:pPr>
        <w:rPr>
          <w:rFonts w:ascii="Public Sans" w:hAnsi="Public Sans" w:cs="Segoe UI"/>
          <w:b/>
          <w:sz w:val="18"/>
        </w:rPr>
      </w:pPr>
      <w:r w:rsidRPr="00F75B36">
        <w:rPr>
          <w:rFonts w:ascii="Public Sans" w:hAnsi="Public Sans" w:cs="Segoe UI"/>
          <w:b/>
          <w:sz w:val="18"/>
        </w:rPr>
        <w:t xml:space="preserve">Table 2: CALD </w:t>
      </w:r>
      <w:r w:rsidR="008E0683">
        <w:rPr>
          <w:rFonts w:ascii="Public Sans" w:hAnsi="Public Sans" w:cs="Segoe UI"/>
          <w:b/>
          <w:sz w:val="18"/>
        </w:rPr>
        <w:t>status</w:t>
      </w:r>
      <w:r w:rsidRPr="00F75B36">
        <w:rPr>
          <w:rFonts w:ascii="Public Sans" w:hAnsi="Public Sans" w:cs="Segoe UI"/>
          <w:b/>
          <w:sz w:val="18"/>
        </w:rPr>
        <w:t xml:space="preserve"> of person the subject of a report to the ADC, by person status,</w:t>
      </w:r>
      <w:r>
        <w:rPr>
          <w:rFonts w:ascii="Public Sans" w:hAnsi="Public Sans" w:cs="Segoe UI"/>
          <w:b/>
          <w:sz w:val="18"/>
        </w:rPr>
        <w:t xml:space="preserve"> </w:t>
      </w:r>
      <w:r w:rsidR="00F813E7">
        <w:rPr>
          <w:rFonts w:ascii="Public Sans" w:hAnsi="Public Sans" w:cs="Segoe UI"/>
          <w:b/>
          <w:sz w:val="18"/>
        </w:rPr>
        <w:t>2020-</w:t>
      </w:r>
      <w:r w:rsidRPr="00F75B36">
        <w:rPr>
          <w:rFonts w:ascii="Public Sans" w:eastAsia="Helvetica" w:hAnsi="Public Sans" w:cs="Calibri"/>
          <w:b/>
          <w:sz w:val="18"/>
        </w:rPr>
        <w:t>2</w:t>
      </w:r>
      <w:r>
        <w:rPr>
          <w:rFonts w:ascii="Public Sans" w:eastAsia="Helvetica" w:hAnsi="Public Sans" w:cs="Calibri"/>
          <w:b/>
          <w:sz w:val="18"/>
        </w:rPr>
        <w:t>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276"/>
        <w:gridCol w:w="1417"/>
        <w:gridCol w:w="1418"/>
        <w:gridCol w:w="1276"/>
      </w:tblGrid>
      <w:tr w:rsidR="00414DE0" w:rsidRPr="005478F6" w:rsidTr="00414DE0">
        <w:tc>
          <w:tcPr>
            <w:tcW w:w="1702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rPr>
                <w:rFonts w:ascii="Public Sans" w:hAnsi="Public Sans"/>
                <w:sz w:val="2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Older people (n=8,462)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% of reports about older people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Adults with disability (n=2,501)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% of reports about adults with disability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All reports (n=10,963)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14DE0" w:rsidRPr="005478F6" w:rsidRDefault="00414DE0" w:rsidP="00414DE0">
            <w:pPr>
              <w:jc w:val="right"/>
              <w:rPr>
                <w:rFonts w:ascii="Public Sans" w:hAnsi="Public Sans"/>
                <w:b/>
                <w:sz w:val="20"/>
              </w:rPr>
            </w:pPr>
            <w:r w:rsidRPr="005478F6">
              <w:rPr>
                <w:rFonts w:ascii="Public Sans" w:hAnsi="Public Sans"/>
                <w:b/>
                <w:sz w:val="20"/>
              </w:rPr>
              <w:t>% of all reports</w:t>
            </w:r>
          </w:p>
        </w:tc>
      </w:tr>
      <w:tr w:rsidR="00414DE0" w:rsidRPr="005478F6" w:rsidTr="00414DE0">
        <w:tc>
          <w:tcPr>
            <w:tcW w:w="1702" w:type="dxa"/>
          </w:tcPr>
          <w:p w:rsidR="00414DE0" w:rsidRPr="005478F6" w:rsidRDefault="00414DE0">
            <w:pPr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Person identified as having a CALD background</w:t>
            </w:r>
          </w:p>
        </w:tc>
        <w:tc>
          <w:tcPr>
            <w:tcW w:w="1276" w:type="dxa"/>
          </w:tcPr>
          <w:p w:rsidR="00414DE0" w:rsidRPr="005478F6" w:rsidRDefault="009E636E" w:rsidP="00973B2A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656</w:t>
            </w:r>
          </w:p>
        </w:tc>
        <w:tc>
          <w:tcPr>
            <w:tcW w:w="1417" w:type="dxa"/>
          </w:tcPr>
          <w:p w:rsidR="00414DE0" w:rsidRPr="005478F6" w:rsidRDefault="009E636E" w:rsidP="00973B2A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7.8</w:t>
            </w:r>
          </w:p>
        </w:tc>
        <w:tc>
          <w:tcPr>
            <w:tcW w:w="1276" w:type="dxa"/>
          </w:tcPr>
          <w:p w:rsidR="00414DE0" w:rsidRPr="005478F6" w:rsidRDefault="00A07F19" w:rsidP="00973B2A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96</w:t>
            </w:r>
          </w:p>
        </w:tc>
        <w:tc>
          <w:tcPr>
            <w:tcW w:w="1417" w:type="dxa"/>
          </w:tcPr>
          <w:p w:rsidR="00414DE0" w:rsidRPr="005478F6" w:rsidRDefault="00A07F19" w:rsidP="00973B2A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3.8</w:t>
            </w:r>
          </w:p>
        </w:tc>
        <w:tc>
          <w:tcPr>
            <w:tcW w:w="1418" w:type="dxa"/>
          </w:tcPr>
          <w:p w:rsidR="00414DE0" w:rsidRPr="005478F6" w:rsidRDefault="009E636E" w:rsidP="00973B2A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752</w:t>
            </w:r>
          </w:p>
        </w:tc>
        <w:tc>
          <w:tcPr>
            <w:tcW w:w="1276" w:type="dxa"/>
          </w:tcPr>
          <w:p w:rsidR="00414DE0" w:rsidRPr="005478F6" w:rsidRDefault="009E636E" w:rsidP="00973B2A">
            <w:pPr>
              <w:jc w:val="right"/>
              <w:rPr>
                <w:rFonts w:ascii="Public Sans" w:hAnsi="Public Sans"/>
                <w:sz w:val="20"/>
              </w:rPr>
            </w:pPr>
            <w:r w:rsidRPr="005478F6">
              <w:rPr>
                <w:rFonts w:ascii="Public Sans" w:hAnsi="Public Sans"/>
                <w:sz w:val="20"/>
              </w:rPr>
              <w:t>6.9</w:t>
            </w:r>
          </w:p>
        </w:tc>
      </w:tr>
    </w:tbl>
    <w:p w:rsidR="00414DE0" w:rsidRDefault="00414DE0"/>
    <w:p w:rsidR="00F813E7" w:rsidRDefault="00F813E7"/>
    <w:p w:rsidR="0047462B" w:rsidRPr="00F75B36" w:rsidRDefault="0047462B" w:rsidP="0047462B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75B36">
        <w:rPr>
          <w:rFonts w:ascii="Public Sans" w:eastAsia="Helvetica" w:hAnsi="Public Sans" w:cs="Segoe UI"/>
          <w:b/>
          <w:sz w:val="18"/>
        </w:rPr>
        <w:t xml:space="preserve">Table 3: </w:t>
      </w:r>
      <w:r w:rsidR="00441FC3">
        <w:rPr>
          <w:rFonts w:ascii="Public Sans" w:eastAsia="Helvetica" w:hAnsi="Public Sans" w:cs="Segoe UI"/>
          <w:b/>
          <w:sz w:val="18"/>
        </w:rPr>
        <w:t xml:space="preserve">Primary language </w:t>
      </w:r>
      <w:r w:rsidR="002F075B">
        <w:rPr>
          <w:rFonts w:ascii="Public Sans" w:eastAsia="Helvetica" w:hAnsi="Public Sans" w:cs="Segoe UI"/>
          <w:b/>
          <w:sz w:val="18"/>
        </w:rPr>
        <w:t xml:space="preserve">other than English </w:t>
      </w:r>
      <w:r w:rsidR="00441FC3">
        <w:rPr>
          <w:rFonts w:ascii="Public Sans" w:eastAsia="Helvetica" w:hAnsi="Public Sans" w:cs="Segoe UI"/>
          <w:b/>
          <w:sz w:val="18"/>
        </w:rPr>
        <w:t>spoken at home by</w:t>
      </w:r>
      <w:r w:rsidRPr="00F75B36">
        <w:rPr>
          <w:rFonts w:ascii="Public Sans" w:eastAsia="Helvetica" w:hAnsi="Public Sans" w:cs="Segoe UI"/>
          <w:b/>
          <w:sz w:val="18"/>
        </w:rPr>
        <w:t xml:space="preserve"> people the subject of a report to the ADC, by person status, </w:t>
      </w:r>
      <w:r w:rsidR="009C351E">
        <w:rPr>
          <w:rFonts w:ascii="Public Sans" w:eastAsia="Helvetica" w:hAnsi="Public Sans" w:cs="Segoe UI"/>
          <w:b/>
          <w:sz w:val="18"/>
        </w:rPr>
        <w:t>2020-22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2"/>
        <w:gridCol w:w="1902"/>
        <w:gridCol w:w="2747"/>
        <w:gridCol w:w="1897"/>
      </w:tblGrid>
      <w:tr w:rsidR="0047462B" w:rsidRPr="00886467" w:rsidTr="00711607">
        <w:tc>
          <w:tcPr>
            <w:tcW w:w="2499" w:type="pct"/>
            <w:gridSpan w:val="2"/>
            <w:shd w:val="clear" w:color="auto" w:fill="A5CCDF"/>
          </w:tcPr>
          <w:p w:rsidR="0047462B" w:rsidRPr="00886467" w:rsidRDefault="0047462B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b/>
                <w:sz w:val="21"/>
                <w:szCs w:val="21"/>
              </w:rPr>
              <w:t>Older people (n=</w:t>
            </w:r>
            <w:r w:rsidR="00A07F19" w:rsidRPr="00886467">
              <w:rPr>
                <w:rFonts w:ascii="Public Sans" w:eastAsia="Helvetica" w:hAnsi="Public Sans" w:cs="Segoe UI"/>
                <w:b/>
                <w:sz w:val="21"/>
                <w:szCs w:val="21"/>
              </w:rPr>
              <w:t>8,462</w:t>
            </w:r>
            <w:r w:rsidRPr="00886467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</w:tc>
        <w:tc>
          <w:tcPr>
            <w:tcW w:w="2501" w:type="pct"/>
            <w:gridSpan w:val="2"/>
            <w:shd w:val="clear" w:color="auto" w:fill="A5CCDF"/>
          </w:tcPr>
          <w:p w:rsidR="0047462B" w:rsidRPr="00886467" w:rsidRDefault="0047462B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b/>
                <w:sz w:val="21"/>
                <w:szCs w:val="21"/>
              </w:rPr>
              <w:t>Adults with disability (n=2</w:t>
            </w:r>
            <w:r w:rsidR="00A07F19" w:rsidRPr="00886467">
              <w:rPr>
                <w:rFonts w:ascii="Public Sans" w:eastAsia="Helvetica" w:hAnsi="Public Sans" w:cs="Segoe UI"/>
                <w:b/>
                <w:sz w:val="21"/>
                <w:szCs w:val="21"/>
              </w:rPr>
              <w:t>,501</w:t>
            </w:r>
            <w:r w:rsidRPr="00886467">
              <w:rPr>
                <w:rFonts w:ascii="Public Sans" w:eastAsia="Helvetica" w:hAnsi="Public Sans" w:cs="Segoe UI"/>
                <w:b/>
                <w:sz w:val="21"/>
                <w:szCs w:val="21"/>
              </w:rPr>
              <w:t>)</w:t>
            </w:r>
          </w:p>
          <w:p w:rsidR="0047462B" w:rsidRPr="00886467" w:rsidRDefault="0047462B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Public Sans" w:eastAsia="Helvetica" w:hAnsi="Public Sans" w:cs="Segoe UI"/>
                <w:b/>
                <w:sz w:val="21"/>
                <w:szCs w:val="21"/>
              </w:rPr>
            </w:pPr>
          </w:p>
        </w:tc>
      </w:tr>
      <w:tr w:rsidR="0047462B" w:rsidRPr="00886467" w:rsidTr="00711607">
        <w:tc>
          <w:tcPr>
            <w:tcW w:w="1476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Greek</w:t>
            </w:r>
          </w:p>
        </w:tc>
        <w:tc>
          <w:tcPr>
            <w:tcW w:w="1024" w:type="pct"/>
          </w:tcPr>
          <w:p w:rsidR="0047462B" w:rsidRPr="00886467" w:rsidRDefault="009E636E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103</w:t>
            </w:r>
          </w:p>
        </w:tc>
        <w:tc>
          <w:tcPr>
            <w:tcW w:w="1479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Arabic</w:t>
            </w:r>
          </w:p>
        </w:tc>
        <w:tc>
          <w:tcPr>
            <w:tcW w:w="1022" w:type="pct"/>
          </w:tcPr>
          <w:p w:rsidR="0047462B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27</w:t>
            </w:r>
          </w:p>
        </w:tc>
      </w:tr>
      <w:tr w:rsidR="0047462B" w:rsidRPr="00886467" w:rsidTr="00711607">
        <w:tc>
          <w:tcPr>
            <w:tcW w:w="1476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Italian</w:t>
            </w:r>
          </w:p>
        </w:tc>
        <w:tc>
          <w:tcPr>
            <w:tcW w:w="1024" w:type="pct"/>
          </w:tcPr>
          <w:p w:rsidR="0047462B" w:rsidRPr="00886467" w:rsidRDefault="009E636E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83</w:t>
            </w:r>
          </w:p>
        </w:tc>
        <w:tc>
          <w:tcPr>
            <w:tcW w:w="1479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Vietnamese</w:t>
            </w:r>
          </w:p>
        </w:tc>
        <w:tc>
          <w:tcPr>
            <w:tcW w:w="1022" w:type="pct"/>
          </w:tcPr>
          <w:p w:rsidR="0047462B" w:rsidRPr="00886467" w:rsidRDefault="00A07F19" w:rsidP="00441FC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1</w:t>
            </w:r>
            <w:r w:rsidR="00441FC3" w:rsidRPr="00886467">
              <w:rPr>
                <w:rFonts w:ascii="Public Sans" w:eastAsia="Helvetica" w:hAnsi="Public Sans" w:cs="Segoe UI"/>
                <w:sz w:val="21"/>
                <w:szCs w:val="21"/>
              </w:rPr>
              <w:t>2</w:t>
            </w:r>
          </w:p>
        </w:tc>
      </w:tr>
      <w:tr w:rsidR="0047462B" w:rsidRPr="00886467" w:rsidTr="00711607">
        <w:tc>
          <w:tcPr>
            <w:tcW w:w="1476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Arabic</w:t>
            </w:r>
          </w:p>
        </w:tc>
        <w:tc>
          <w:tcPr>
            <w:tcW w:w="1024" w:type="pct"/>
          </w:tcPr>
          <w:p w:rsidR="0047462B" w:rsidRPr="00886467" w:rsidRDefault="009E636E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50</w:t>
            </w:r>
          </w:p>
        </w:tc>
        <w:tc>
          <w:tcPr>
            <w:tcW w:w="1479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Greek</w:t>
            </w:r>
          </w:p>
        </w:tc>
        <w:tc>
          <w:tcPr>
            <w:tcW w:w="1022" w:type="pct"/>
          </w:tcPr>
          <w:p w:rsidR="0047462B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7</w:t>
            </w:r>
          </w:p>
        </w:tc>
      </w:tr>
      <w:tr w:rsidR="0047462B" w:rsidRPr="00886467" w:rsidTr="00711607">
        <w:tc>
          <w:tcPr>
            <w:tcW w:w="1476" w:type="pct"/>
          </w:tcPr>
          <w:p w:rsidR="0047462B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Spanish</w:t>
            </w:r>
          </w:p>
        </w:tc>
        <w:tc>
          <w:tcPr>
            <w:tcW w:w="1024" w:type="pct"/>
          </w:tcPr>
          <w:p w:rsidR="0047462B" w:rsidRPr="00886467" w:rsidRDefault="009E636E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39</w:t>
            </w:r>
          </w:p>
        </w:tc>
        <w:tc>
          <w:tcPr>
            <w:tcW w:w="1479" w:type="pct"/>
          </w:tcPr>
          <w:p w:rsidR="0047462B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Samoan</w:t>
            </w:r>
          </w:p>
        </w:tc>
        <w:tc>
          <w:tcPr>
            <w:tcW w:w="1022" w:type="pct"/>
          </w:tcPr>
          <w:p w:rsidR="0047462B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6</w:t>
            </w:r>
          </w:p>
        </w:tc>
      </w:tr>
      <w:tr w:rsidR="0047462B" w:rsidRPr="00886467" w:rsidTr="00711607">
        <w:tc>
          <w:tcPr>
            <w:tcW w:w="1476" w:type="pct"/>
          </w:tcPr>
          <w:p w:rsidR="0047462B" w:rsidRPr="00886467" w:rsidRDefault="0047462B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C</w:t>
            </w:r>
            <w:r w:rsidR="00A07F19" w:rsidRPr="00886467">
              <w:rPr>
                <w:rFonts w:ascii="Public Sans" w:eastAsia="Helvetica" w:hAnsi="Public Sans" w:cs="Segoe UI"/>
                <w:sz w:val="21"/>
                <w:szCs w:val="21"/>
              </w:rPr>
              <w:t>roatian</w:t>
            </w:r>
          </w:p>
        </w:tc>
        <w:tc>
          <w:tcPr>
            <w:tcW w:w="1024" w:type="pct"/>
          </w:tcPr>
          <w:p w:rsidR="0047462B" w:rsidRPr="00886467" w:rsidRDefault="009E636E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  <w:r w:rsidR="00A07F19" w:rsidRPr="00886467">
              <w:rPr>
                <w:rFonts w:ascii="Public Sans" w:eastAsia="Helvetica" w:hAnsi="Public Sans" w:cs="Segoe UI"/>
                <w:sz w:val="21"/>
                <w:szCs w:val="21"/>
              </w:rPr>
              <w:t>7</w:t>
            </w:r>
          </w:p>
        </w:tc>
        <w:tc>
          <w:tcPr>
            <w:tcW w:w="1479" w:type="pct"/>
          </w:tcPr>
          <w:p w:rsidR="0047462B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Italian</w:t>
            </w:r>
          </w:p>
        </w:tc>
        <w:tc>
          <w:tcPr>
            <w:tcW w:w="1022" w:type="pct"/>
          </w:tcPr>
          <w:p w:rsidR="0047462B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5</w:t>
            </w:r>
          </w:p>
        </w:tc>
      </w:tr>
      <w:tr w:rsidR="00A07F19" w:rsidRPr="00886467" w:rsidTr="00711607">
        <w:tc>
          <w:tcPr>
            <w:tcW w:w="1476" w:type="pct"/>
          </w:tcPr>
          <w:p w:rsidR="00A07F19" w:rsidRPr="00886467" w:rsidRDefault="009E636E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Mandarin</w:t>
            </w:r>
          </w:p>
        </w:tc>
        <w:tc>
          <w:tcPr>
            <w:tcW w:w="1024" w:type="pct"/>
          </w:tcPr>
          <w:p w:rsidR="00A07F19" w:rsidRPr="00886467" w:rsidRDefault="009E636E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35</w:t>
            </w:r>
          </w:p>
        </w:tc>
        <w:tc>
          <w:tcPr>
            <w:tcW w:w="1479" w:type="pct"/>
          </w:tcPr>
          <w:p w:rsidR="00A07F19" w:rsidRPr="00886467" w:rsidRDefault="00A07F1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Cantonese</w:t>
            </w:r>
          </w:p>
        </w:tc>
        <w:tc>
          <w:tcPr>
            <w:tcW w:w="1022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4</w:t>
            </w:r>
          </w:p>
        </w:tc>
      </w:tr>
      <w:tr w:rsidR="00A07F19" w:rsidRPr="00886467" w:rsidTr="00711607">
        <w:tc>
          <w:tcPr>
            <w:tcW w:w="1476" w:type="pct"/>
          </w:tcPr>
          <w:p w:rsidR="00A07F19" w:rsidRPr="00886467" w:rsidRDefault="009E636E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Vietnamese</w:t>
            </w:r>
          </w:p>
        </w:tc>
        <w:tc>
          <w:tcPr>
            <w:tcW w:w="1024" w:type="pct"/>
          </w:tcPr>
          <w:p w:rsidR="00A07F19" w:rsidRPr="00886467" w:rsidRDefault="00441FC3" w:rsidP="00441FC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30</w:t>
            </w:r>
          </w:p>
        </w:tc>
        <w:tc>
          <w:tcPr>
            <w:tcW w:w="1479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Turkish</w:t>
            </w:r>
          </w:p>
        </w:tc>
        <w:tc>
          <w:tcPr>
            <w:tcW w:w="1022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4</w:t>
            </w:r>
          </w:p>
        </w:tc>
      </w:tr>
      <w:tr w:rsidR="00A07F19" w:rsidRPr="00886467" w:rsidTr="00711607">
        <w:tc>
          <w:tcPr>
            <w:tcW w:w="1476" w:type="pct"/>
          </w:tcPr>
          <w:p w:rsidR="00A07F19" w:rsidRPr="00886467" w:rsidRDefault="00441FC3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Polish</w:t>
            </w:r>
          </w:p>
        </w:tc>
        <w:tc>
          <w:tcPr>
            <w:tcW w:w="1024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27</w:t>
            </w:r>
          </w:p>
        </w:tc>
        <w:tc>
          <w:tcPr>
            <w:tcW w:w="1479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Mandarin</w:t>
            </w:r>
          </w:p>
        </w:tc>
        <w:tc>
          <w:tcPr>
            <w:tcW w:w="1022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4</w:t>
            </w:r>
          </w:p>
        </w:tc>
      </w:tr>
      <w:tr w:rsidR="00A07F19" w:rsidRPr="00886467" w:rsidTr="00711607">
        <w:tc>
          <w:tcPr>
            <w:tcW w:w="1476" w:type="pct"/>
          </w:tcPr>
          <w:p w:rsidR="00A07F19" w:rsidRPr="00886467" w:rsidRDefault="00441FC3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Macedonian</w:t>
            </w:r>
          </w:p>
        </w:tc>
        <w:tc>
          <w:tcPr>
            <w:tcW w:w="1024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25</w:t>
            </w:r>
          </w:p>
        </w:tc>
        <w:tc>
          <w:tcPr>
            <w:tcW w:w="1479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Spanish</w:t>
            </w:r>
          </w:p>
        </w:tc>
        <w:tc>
          <w:tcPr>
            <w:tcW w:w="1022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</w:tr>
      <w:tr w:rsidR="00A07F19" w:rsidRPr="00886467" w:rsidTr="00711607">
        <w:tc>
          <w:tcPr>
            <w:tcW w:w="1476" w:type="pct"/>
          </w:tcPr>
          <w:p w:rsidR="00A07F19" w:rsidRPr="00886467" w:rsidRDefault="00441FC3" w:rsidP="00A07F1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Serbian</w:t>
            </w:r>
          </w:p>
        </w:tc>
        <w:tc>
          <w:tcPr>
            <w:tcW w:w="1024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24</w:t>
            </w:r>
          </w:p>
        </w:tc>
        <w:tc>
          <w:tcPr>
            <w:tcW w:w="1479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Tagalog</w:t>
            </w:r>
          </w:p>
        </w:tc>
        <w:tc>
          <w:tcPr>
            <w:tcW w:w="1022" w:type="pct"/>
          </w:tcPr>
          <w:p w:rsidR="00A07F19" w:rsidRPr="00886467" w:rsidRDefault="00441FC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Public Sans" w:eastAsia="Helvetica" w:hAnsi="Public Sans" w:cs="Segoe UI"/>
                <w:sz w:val="21"/>
                <w:szCs w:val="21"/>
              </w:rPr>
            </w:pPr>
            <w:r w:rsidRPr="00886467">
              <w:rPr>
                <w:rFonts w:ascii="Public Sans" w:eastAsia="Helvetica" w:hAnsi="Public Sans" w:cs="Segoe UI"/>
                <w:sz w:val="21"/>
                <w:szCs w:val="21"/>
              </w:rPr>
              <w:t>3</w:t>
            </w:r>
          </w:p>
        </w:tc>
      </w:tr>
    </w:tbl>
    <w:p w:rsidR="00F036F2" w:rsidRDefault="00F036F2"/>
    <w:p w:rsidR="00F036F2" w:rsidRPr="00F75B36" w:rsidRDefault="00F036F2" w:rsidP="00F036F2">
      <w:pPr>
        <w:pStyle w:val="Heading2"/>
        <w:spacing w:before="0"/>
        <w:rPr>
          <w:rFonts w:ascii="Public Sans" w:hAnsi="Public Sans"/>
          <w:b/>
          <w:color w:val="auto"/>
        </w:rPr>
      </w:pPr>
      <w:r>
        <w:rPr>
          <w:rFonts w:ascii="Public Sans" w:hAnsi="Public Sans"/>
          <w:b/>
          <w:color w:val="auto"/>
        </w:rPr>
        <w:t>2.4</w:t>
      </w:r>
      <w:r>
        <w:rPr>
          <w:rFonts w:ascii="Public Sans" w:hAnsi="Public Sans"/>
          <w:b/>
          <w:color w:val="auto"/>
        </w:rPr>
        <w:tab/>
      </w:r>
      <w:r w:rsidRPr="00F75B36">
        <w:rPr>
          <w:rFonts w:ascii="Public Sans" w:hAnsi="Public Sans"/>
          <w:b/>
          <w:color w:val="auto"/>
        </w:rPr>
        <w:t xml:space="preserve">Gender </w:t>
      </w:r>
    </w:p>
    <w:p w:rsidR="00E01CE2" w:rsidRDefault="00E01CE2" w:rsidP="00E01CE2">
      <w:pPr>
        <w:pStyle w:val="Body"/>
        <w:widowControl w:val="0"/>
        <w:spacing w:before="120" w:after="0" w:line="240" w:lineRule="auto"/>
      </w:pPr>
      <w:r>
        <w:rPr>
          <w:rFonts w:ascii="Public Sans" w:eastAsia="Helvetica" w:hAnsi="Public Sans" w:cs="Segoe UI"/>
        </w:rPr>
        <w:t xml:space="preserve">Most (66.9%) of the older people in the 8,462 reports to the ADC in 2020 – 2022 were female. </w:t>
      </w:r>
    </w:p>
    <w:p w:rsidR="00F036F2" w:rsidRDefault="00F036F2" w:rsidP="00F036F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:rsidR="00F036F2" w:rsidRPr="005576E4" w:rsidRDefault="00E01CE2" w:rsidP="00F036F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Just over half (54.4%) of the adults with disability in the 2,501</w:t>
      </w:r>
      <w:r w:rsidR="00F036F2" w:rsidRPr="005576E4">
        <w:rPr>
          <w:rFonts w:ascii="Public Sans" w:eastAsia="Helvetica" w:hAnsi="Public Sans" w:cs="Segoe UI"/>
        </w:rPr>
        <w:t xml:space="preserve"> reports to the ADC in th</w:t>
      </w:r>
      <w:r>
        <w:rPr>
          <w:rFonts w:ascii="Public Sans" w:eastAsia="Helvetica" w:hAnsi="Public Sans" w:cs="Segoe UI"/>
        </w:rPr>
        <w:t>e three-year period were female</w:t>
      </w:r>
      <w:r w:rsidR="00F036F2" w:rsidRPr="005576E4">
        <w:rPr>
          <w:rFonts w:ascii="Public Sans" w:eastAsia="Helvetica" w:hAnsi="Public Sans" w:cs="Segoe UI"/>
        </w:rPr>
        <w:t xml:space="preserve">. </w:t>
      </w:r>
    </w:p>
    <w:p w:rsidR="00F036F2" w:rsidRPr="005576E4" w:rsidRDefault="00F036F2" w:rsidP="00F036F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:rsidR="00F036F2" w:rsidRPr="00CA111C" w:rsidRDefault="00F036F2" w:rsidP="00F036F2">
      <w:pPr>
        <w:rPr>
          <w:rFonts w:ascii="Public Sans" w:hAnsi="Public Sans" w:cs="Segoe UI"/>
          <w:b/>
          <w:sz w:val="18"/>
        </w:rPr>
      </w:pPr>
      <w:r w:rsidRPr="00CA111C">
        <w:rPr>
          <w:rFonts w:ascii="Public Sans" w:hAnsi="Public Sans" w:cs="Segoe UI"/>
          <w:b/>
          <w:sz w:val="18"/>
        </w:rPr>
        <w:t xml:space="preserve">Figure 4: Gender of adults with disability and older people the subject of a report to the ADC, </w:t>
      </w:r>
      <w:r>
        <w:rPr>
          <w:rFonts w:ascii="Public Sans" w:hAnsi="Public Sans" w:cs="Segoe UI"/>
          <w:b/>
          <w:sz w:val="18"/>
        </w:rPr>
        <w:t>2020</w:t>
      </w:r>
      <w:r w:rsidR="009C351E">
        <w:rPr>
          <w:rFonts w:ascii="Public Sans" w:hAnsi="Public Sans" w:cs="Segoe UI"/>
          <w:b/>
          <w:sz w:val="18"/>
        </w:rPr>
        <w:t>-</w:t>
      </w:r>
      <w:r w:rsidRPr="00CA111C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p w:rsidR="0047462B" w:rsidRDefault="00F036F2">
      <w:r>
        <w:rPr>
          <w:noProof/>
          <w:lang w:eastAsia="en-AU"/>
        </w:rPr>
        <w:drawing>
          <wp:inline distT="0" distB="0" distL="0" distR="0" wp14:anchorId="1FFF881A" wp14:editId="271BC089">
            <wp:extent cx="5829300" cy="215265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27CB" w:rsidRDefault="007727CB" w:rsidP="00347F6C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</w:p>
    <w:p w:rsidR="00347F6C" w:rsidRPr="00F54F4A" w:rsidRDefault="00347F6C" w:rsidP="00347F6C">
      <w:pPr>
        <w:pStyle w:val="Heading2"/>
        <w:spacing w:before="0"/>
        <w:rPr>
          <w:rFonts w:ascii="Public Sans" w:hAnsi="Public Sans"/>
          <w:color w:val="auto"/>
        </w:rPr>
      </w:pPr>
      <w:r w:rsidRPr="00F54F4A">
        <w:rPr>
          <w:rFonts w:ascii="Public Sans" w:eastAsia="Helvetica" w:hAnsi="Public Sans"/>
          <w:b/>
          <w:color w:val="auto"/>
        </w:rPr>
        <w:t xml:space="preserve">2.5 </w:t>
      </w:r>
      <w:r w:rsidRPr="00F54F4A">
        <w:rPr>
          <w:rFonts w:ascii="Public Sans" w:eastAsia="Helvetica" w:hAnsi="Public Sans"/>
          <w:b/>
          <w:color w:val="auto"/>
        </w:rPr>
        <w:tab/>
        <w:t>Age</w:t>
      </w:r>
    </w:p>
    <w:p w:rsidR="00347F6C" w:rsidRDefault="00347F6C" w:rsidP="00347F6C">
      <w:pPr>
        <w:spacing w:before="120"/>
        <w:rPr>
          <w:rFonts w:ascii="Public Sans" w:hAnsi="Public Sans" w:cs="Segoe UI"/>
        </w:rPr>
      </w:pPr>
      <w:r>
        <w:rPr>
          <w:rFonts w:ascii="Public Sans" w:hAnsi="Public Sans" w:cs="Segoe UI"/>
        </w:rPr>
        <w:t>T</w:t>
      </w:r>
      <w:r w:rsidRPr="005576E4">
        <w:rPr>
          <w:rFonts w:ascii="Public Sans" w:hAnsi="Public Sans" w:cs="Segoe UI"/>
        </w:rPr>
        <w:t xml:space="preserve">he largest proportion of the </w:t>
      </w:r>
      <w:r>
        <w:rPr>
          <w:rFonts w:ascii="Public Sans" w:hAnsi="Public Sans" w:cs="Segoe UI"/>
        </w:rPr>
        <w:t>8,462</w:t>
      </w:r>
      <w:r w:rsidRPr="005576E4">
        <w:rPr>
          <w:rFonts w:ascii="Public Sans" w:hAnsi="Public Sans" w:cs="Segoe UI"/>
        </w:rPr>
        <w:t xml:space="preserve"> reports about older people in </w:t>
      </w:r>
      <w:r>
        <w:rPr>
          <w:rFonts w:ascii="Public Sans" w:hAnsi="Public Sans" w:cs="Segoe UI"/>
        </w:rPr>
        <w:t>2020 - 2022</w:t>
      </w:r>
      <w:r w:rsidRPr="005576E4">
        <w:rPr>
          <w:rFonts w:ascii="Public Sans" w:hAnsi="Public Sans" w:cs="Segoe UI"/>
        </w:rPr>
        <w:t xml:space="preserve"> related to people aged </w:t>
      </w:r>
      <w:r>
        <w:rPr>
          <w:rFonts w:ascii="Public Sans" w:hAnsi="Public Sans" w:cs="Segoe UI"/>
        </w:rPr>
        <w:t>80</w:t>
      </w:r>
      <w:r w:rsidRPr="005576E4">
        <w:rPr>
          <w:rFonts w:ascii="Public Sans" w:hAnsi="Public Sans" w:cs="Segoe UI"/>
        </w:rPr>
        <w:t>-</w:t>
      </w:r>
      <w:r>
        <w:rPr>
          <w:rFonts w:ascii="Public Sans" w:hAnsi="Public Sans" w:cs="Segoe UI"/>
        </w:rPr>
        <w:t>84</w:t>
      </w:r>
      <w:r w:rsidRPr="005576E4">
        <w:rPr>
          <w:rFonts w:ascii="Public Sans" w:hAnsi="Public Sans" w:cs="Segoe UI"/>
        </w:rPr>
        <w:t xml:space="preserve"> years (</w:t>
      </w:r>
      <w:r>
        <w:rPr>
          <w:rFonts w:ascii="Public Sans" w:hAnsi="Public Sans" w:cs="Segoe UI"/>
        </w:rPr>
        <w:t>17.6</w:t>
      </w:r>
      <w:r w:rsidRPr="005576E4">
        <w:rPr>
          <w:rFonts w:ascii="Public Sans" w:hAnsi="Public Sans" w:cs="Segoe UI"/>
        </w:rPr>
        <w:t>%).</w:t>
      </w:r>
      <w:r>
        <w:rPr>
          <w:rFonts w:ascii="Public Sans" w:hAnsi="Public Sans" w:cs="Segoe UI"/>
        </w:rPr>
        <w:t xml:space="preserve">  </w:t>
      </w:r>
    </w:p>
    <w:p w:rsidR="00347F6C" w:rsidRDefault="00347F6C" w:rsidP="00347F6C">
      <w:pPr>
        <w:rPr>
          <w:rFonts w:ascii="Public Sans" w:hAnsi="Public Sans" w:cs="Segoe UI"/>
        </w:rPr>
      </w:pPr>
    </w:p>
    <w:p w:rsidR="00347F6C" w:rsidRDefault="00347F6C" w:rsidP="00347F6C">
      <w:pPr>
        <w:rPr>
          <w:rFonts w:ascii="Public Sans" w:hAnsi="Public Sans" w:cs="Segoe UI"/>
        </w:rPr>
      </w:pPr>
      <w:r>
        <w:rPr>
          <w:rFonts w:ascii="Public Sans" w:hAnsi="Public Sans" w:cs="Segoe UI"/>
        </w:rPr>
        <w:t>Th</w:t>
      </w:r>
      <w:r w:rsidRPr="005576E4">
        <w:rPr>
          <w:rFonts w:ascii="Public Sans" w:hAnsi="Public Sans" w:cs="Segoe UI"/>
        </w:rPr>
        <w:t>e largest proportion of the 2</w:t>
      </w:r>
      <w:r>
        <w:rPr>
          <w:rFonts w:ascii="Public Sans" w:hAnsi="Public Sans" w:cs="Segoe UI"/>
        </w:rPr>
        <w:t>,501</w:t>
      </w:r>
      <w:r w:rsidRPr="005576E4">
        <w:rPr>
          <w:rFonts w:ascii="Public Sans" w:hAnsi="Public Sans" w:cs="Segoe UI"/>
        </w:rPr>
        <w:t xml:space="preserve"> reports about adults with disability related to people aged 18-24 years (</w:t>
      </w:r>
      <w:r>
        <w:rPr>
          <w:rFonts w:ascii="Public Sans" w:hAnsi="Public Sans" w:cs="Segoe UI"/>
        </w:rPr>
        <w:t>1</w:t>
      </w:r>
      <w:r w:rsidR="00482D10">
        <w:rPr>
          <w:rFonts w:ascii="Public Sans" w:hAnsi="Public Sans" w:cs="Segoe UI"/>
        </w:rPr>
        <w:t>8</w:t>
      </w:r>
      <w:r>
        <w:rPr>
          <w:rFonts w:ascii="Public Sans" w:hAnsi="Public Sans" w:cs="Segoe UI"/>
        </w:rPr>
        <w:t>.</w:t>
      </w:r>
      <w:r w:rsidR="00482D10">
        <w:rPr>
          <w:rFonts w:ascii="Public Sans" w:hAnsi="Public Sans" w:cs="Segoe UI"/>
        </w:rPr>
        <w:t>3</w:t>
      </w:r>
      <w:r>
        <w:rPr>
          <w:rFonts w:ascii="Public Sans" w:hAnsi="Public Sans" w:cs="Segoe UI"/>
        </w:rPr>
        <w:t>%</w:t>
      </w:r>
      <w:r w:rsidRPr="005576E4">
        <w:rPr>
          <w:rFonts w:ascii="Public Sans" w:hAnsi="Public Sans" w:cs="Segoe UI"/>
        </w:rPr>
        <w:t>)</w:t>
      </w:r>
      <w:r w:rsidR="00482D10">
        <w:rPr>
          <w:rFonts w:ascii="Public Sans" w:hAnsi="Public Sans" w:cs="Segoe UI"/>
        </w:rPr>
        <w:t>, followed by people aged 60-64 years (12.2%)</w:t>
      </w:r>
      <w:r w:rsidRPr="005576E4">
        <w:rPr>
          <w:rFonts w:ascii="Public Sans" w:hAnsi="Public Sans" w:cs="Segoe UI"/>
        </w:rPr>
        <w:t xml:space="preserve">. </w:t>
      </w:r>
    </w:p>
    <w:p w:rsidR="0059270A" w:rsidRDefault="0059270A"/>
    <w:p w:rsidR="00347F6C" w:rsidRDefault="00347F6C" w:rsidP="00347F6C">
      <w:pPr>
        <w:rPr>
          <w:rFonts w:ascii="Public Sans" w:hAnsi="Public Sans" w:cs="Segoe UI"/>
          <w:b/>
          <w:sz w:val="18"/>
        </w:rPr>
      </w:pPr>
      <w:r w:rsidRPr="00707AF4">
        <w:rPr>
          <w:rFonts w:ascii="Public Sans" w:hAnsi="Public Sans" w:cs="Segoe UI"/>
          <w:b/>
          <w:sz w:val="18"/>
        </w:rPr>
        <w:t xml:space="preserve">Figure 5: Age of older people the subject of a report to the ADC, </w:t>
      </w:r>
      <w:r>
        <w:rPr>
          <w:rFonts w:ascii="Public Sans" w:hAnsi="Public Sans" w:cs="Segoe UI"/>
          <w:b/>
          <w:sz w:val="18"/>
        </w:rPr>
        <w:t>2020–</w:t>
      </w:r>
      <w:r w:rsidRPr="00707AF4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p w:rsidR="0059270A" w:rsidRDefault="0059270A">
      <w:r>
        <w:rPr>
          <w:noProof/>
          <w:lang w:eastAsia="en-AU"/>
        </w:rPr>
        <w:drawing>
          <wp:inline distT="0" distB="0" distL="0" distR="0" wp14:anchorId="12FAA5AB" wp14:editId="3817FB12">
            <wp:extent cx="5829300" cy="17430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270A" w:rsidRDefault="0059270A"/>
    <w:p w:rsidR="00347F6C" w:rsidRDefault="00347F6C" w:rsidP="00347F6C">
      <w:pPr>
        <w:rPr>
          <w:rFonts w:ascii="Public Sans" w:hAnsi="Public Sans" w:cs="Segoe UI"/>
          <w:b/>
          <w:sz w:val="18"/>
        </w:rPr>
      </w:pPr>
      <w:r w:rsidRPr="00707AF4">
        <w:rPr>
          <w:rFonts w:ascii="Public Sans" w:hAnsi="Public Sans" w:cs="Segoe UI"/>
          <w:b/>
          <w:sz w:val="18"/>
        </w:rPr>
        <w:t xml:space="preserve">Figure 6: Age of adults with disability the subject of a report to the ADC, </w:t>
      </w:r>
      <w:r>
        <w:rPr>
          <w:rFonts w:ascii="Public Sans" w:hAnsi="Public Sans" w:cs="Segoe UI"/>
          <w:b/>
          <w:sz w:val="18"/>
        </w:rPr>
        <w:t>2020–</w:t>
      </w:r>
      <w:r w:rsidRPr="00707AF4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p w:rsidR="0059270A" w:rsidRDefault="0059270A">
      <w:r>
        <w:rPr>
          <w:noProof/>
          <w:lang w:eastAsia="en-AU"/>
        </w:rPr>
        <w:drawing>
          <wp:inline distT="0" distB="0" distL="0" distR="0" wp14:anchorId="75CC64C3" wp14:editId="39FC3545">
            <wp:extent cx="5829300" cy="1800225"/>
            <wp:effectExtent l="0" t="0" r="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1CF3" w:rsidRDefault="008A1CF3"/>
    <w:p w:rsidR="00482D10" w:rsidRPr="000E3DCE" w:rsidRDefault="00482D10" w:rsidP="00482D10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0E3DCE">
        <w:rPr>
          <w:rFonts w:ascii="Public Sans" w:eastAsia="Helvetica" w:hAnsi="Public Sans"/>
          <w:b/>
          <w:color w:val="auto"/>
        </w:rPr>
        <w:t xml:space="preserve">2.6 </w:t>
      </w:r>
      <w:r w:rsidRPr="000E3DCE">
        <w:rPr>
          <w:rFonts w:ascii="Public Sans" w:eastAsia="Helvetica" w:hAnsi="Public Sans"/>
          <w:b/>
          <w:color w:val="auto"/>
        </w:rPr>
        <w:tab/>
      </w:r>
      <w:r w:rsidRPr="00E1269E">
        <w:rPr>
          <w:rFonts w:ascii="Public Sans" w:eastAsia="Helvetica" w:hAnsi="Public Sans"/>
          <w:b/>
          <w:color w:val="auto"/>
        </w:rPr>
        <w:t>Location of person</w:t>
      </w:r>
    </w:p>
    <w:p w:rsidR="00482D10" w:rsidRDefault="00482D10" w:rsidP="00482D10">
      <w:pPr>
        <w:spacing w:before="120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Of the </w:t>
      </w:r>
      <w:r>
        <w:rPr>
          <w:rFonts w:ascii="Public Sans" w:hAnsi="Public Sans" w:cs="Segoe UI"/>
        </w:rPr>
        <w:t>7,830</w:t>
      </w:r>
      <w:r w:rsidRPr="005576E4">
        <w:rPr>
          <w:rFonts w:ascii="Public Sans" w:hAnsi="Public Sans" w:cs="Segoe UI"/>
        </w:rPr>
        <w:t xml:space="preserve"> reports to the ADC in </w:t>
      </w:r>
      <w:r>
        <w:rPr>
          <w:rFonts w:ascii="Public Sans" w:hAnsi="Public Sans" w:cs="Segoe UI"/>
        </w:rPr>
        <w:t xml:space="preserve">2020 – </w:t>
      </w:r>
      <w:r w:rsidRPr="005576E4">
        <w:rPr>
          <w:rFonts w:ascii="Public Sans" w:hAnsi="Public Sans" w:cs="Segoe UI"/>
        </w:rPr>
        <w:t>202</w:t>
      </w:r>
      <w:r>
        <w:rPr>
          <w:rFonts w:ascii="Public Sans" w:hAnsi="Public Sans" w:cs="Segoe UI"/>
        </w:rPr>
        <w:t>2</w:t>
      </w:r>
      <w:r w:rsidRPr="005576E4">
        <w:rPr>
          <w:rFonts w:ascii="Public Sans" w:hAnsi="Public Sans" w:cs="Segoe UI"/>
        </w:rPr>
        <w:t xml:space="preserve"> in which the location of the person was known, </w:t>
      </w:r>
      <w:r>
        <w:rPr>
          <w:rFonts w:ascii="Public Sans" w:hAnsi="Public Sans" w:cs="Segoe UI"/>
        </w:rPr>
        <w:t xml:space="preserve">regional </w:t>
      </w:r>
      <w:r w:rsidRPr="005576E4">
        <w:rPr>
          <w:rFonts w:ascii="Public Sans" w:hAnsi="Public Sans" w:cs="Segoe UI"/>
        </w:rPr>
        <w:t xml:space="preserve">NSW accounted for just </w:t>
      </w:r>
      <w:r>
        <w:rPr>
          <w:rFonts w:ascii="Public Sans" w:hAnsi="Public Sans" w:cs="Segoe UI"/>
        </w:rPr>
        <w:t>over</w:t>
      </w:r>
      <w:r w:rsidRPr="005576E4">
        <w:rPr>
          <w:rFonts w:ascii="Public Sans" w:hAnsi="Public Sans" w:cs="Segoe UI"/>
        </w:rPr>
        <w:t xml:space="preserve"> half of the reports (</w:t>
      </w:r>
      <w:r w:rsidR="008A1CF3">
        <w:rPr>
          <w:rFonts w:ascii="Public Sans" w:hAnsi="Public Sans" w:cs="Segoe UI"/>
        </w:rPr>
        <w:t>4,109</w:t>
      </w:r>
      <w:r w:rsidRPr="005576E4">
        <w:rPr>
          <w:rFonts w:ascii="Public Sans" w:hAnsi="Public Sans" w:cs="Segoe UI"/>
        </w:rPr>
        <w:t xml:space="preserve">; </w:t>
      </w:r>
      <w:r>
        <w:rPr>
          <w:rFonts w:ascii="Public Sans" w:hAnsi="Public Sans" w:cs="Segoe UI"/>
        </w:rPr>
        <w:t>5</w:t>
      </w:r>
      <w:r w:rsidR="008A1CF3">
        <w:rPr>
          <w:rFonts w:ascii="Public Sans" w:hAnsi="Public Sans" w:cs="Segoe UI"/>
        </w:rPr>
        <w:t>2.5</w:t>
      </w:r>
      <w:r w:rsidRPr="005576E4">
        <w:rPr>
          <w:rFonts w:ascii="Public Sans" w:hAnsi="Public Sans" w:cs="Segoe UI"/>
        </w:rPr>
        <w:t xml:space="preserve">%). Hunter, Illawarra Shoalhaven, and </w:t>
      </w:r>
      <w:r w:rsidR="008A1CF3">
        <w:rPr>
          <w:rFonts w:ascii="Public Sans" w:hAnsi="Public Sans" w:cs="Segoe UI"/>
        </w:rPr>
        <w:t>Central Coast</w:t>
      </w:r>
      <w:r w:rsidRPr="005576E4">
        <w:rPr>
          <w:rFonts w:ascii="Public Sans" w:hAnsi="Public Sans" w:cs="Segoe UI"/>
        </w:rPr>
        <w:t xml:space="preserve"> </w:t>
      </w:r>
      <w:r>
        <w:rPr>
          <w:rFonts w:ascii="Public Sans" w:hAnsi="Public Sans" w:cs="Segoe UI"/>
        </w:rPr>
        <w:t>were the most common regional areas</w:t>
      </w:r>
      <w:r w:rsidRPr="005576E4">
        <w:rPr>
          <w:rFonts w:ascii="Public Sans" w:hAnsi="Public Sans" w:cs="Segoe UI"/>
        </w:rPr>
        <w:t xml:space="preserve">. </w:t>
      </w:r>
    </w:p>
    <w:p w:rsidR="008A1CF3" w:rsidRDefault="008A1CF3" w:rsidP="008A1CF3">
      <w:pPr>
        <w:rPr>
          <w:rFonts w:ascii="Public Sans" w:hAnsi="Public Sans" w:cs="Segoe UI"/>
          <w:b/>
          <w:sz w:val="18"/>
        </w:rPr>
      </w:pPr>
    </w:p>
    <w:p w:rsidR="008A1CF3" w:rsidRDefault="008A1CF3" w:rsidP="008A1CF3">
      <w:pPr>
        <w:rPr>
          <w:rFonts w:ascii="Public Sans" w:hAnsi="Public Sans" w:cs="Segoe UI"/>
        </w:rPr>
      </w:pPr>
      <w:r w:rsidRPr="00D24FBD">
        <w:rPr>
          <w:rFonts w:ascii="Public Sans" w:hAnsi="Public Sans" w:cs="Segoe UI"/>
          <w:b/>
          <w:sz w:val="18"/>
        </w:rPr>
        <w:t xml:space="preserve">Figure 7: Location of person the subject of a report to the ADC by NSW region, </w:t>
      </w:r>
      <w:r>
        <w:rPr>
          <w:rFonts w:ascii="Public Sans" w:hAnsi="Public Sans" w:cs="Segoe UI"/>
          <w:b/>
          <w:sz w:val="18"/>
        </w:rPr>
        <w:t>2020–</w:t>
      </w:r>
      <w:r w:rsidRPr="00D24FBD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p w:rsidR="008A1CF3" w:rsidRDefault="002E333E" w:rsidP="00482D10">
      <w:pPr>
        <w:spacing w:before="120"/>
        <w:rPr>
          <w:rFonts w:ascii="Public Sans" w:hAnsi="Public Sans" w:cs="Segoe UI"/>
        </w:rPr>
      </w:pPr>
      <w:r>
        <w:rPr>
          <w:noProof/>
          <w:lang w:eastAsia="en-AU"/>
        </w:rPr>
        <w:drawing>
          <wp:inline distT="0" distB="0" distL="0" distR="0" wp14:anchorId="16638E54" wp14:editId="3DB2DA0D">
            <wp:extent cx="5953125" cy="2495550"/>
            <wp:effectExtent l="0" t="0" r="9525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A1CF3" w:rsidRDefault="008A1CF3" w:rsidP="00793814">
      <w:pPr>
        <w:rPr>
          <w:rFonts w:ascii="Public Sans" w:hAnsi="Public Sans" w:cs="Segoe UI"/>
        </w:rPr>
      </w:pPr>
    </w:p>
    <w:p w:rsidR="005B1133" w:rsidRDefault="008A1CF3" w:rsidP="00793814">
      <w:pPr>
        <w:rPr>
          <w:rFonts w:ascii="Public Sans" w:hAnsi="Public Sans" w:cs="Segoe UI"/>
        </w:rPr>
      </w:pPr>
      <w:r>
        <w:rPr>
          <w:rFonts w:ascii="Public Sans" w:hAnsi="Public Sans" w:cs="Segoe UI"/>
        </w:rPr>
        <w:t xml:space="preserve">There are some slight differences in the main locations of older people in reports to the ADC in comparison to adults with disability. </w:t>
      </w:r>
      <w:r w:rsidR="00793814">
        <w:rPr>
          <w:rFonts w:ascii="Public Sans" w:hAnsi="Public Sans" w:cs="Segoe UI"/>
        </w:rPr>
        <w:t xml:space="preserve">While the </w:t>
      </w:r>
      <w:r w:rsidR="00793814" w:rsidRPr="00F47CCE">
        <w:rPr>
          <w:rFonts w:ascii="Public Sans" w:hAnsi="Public Sans" w:cs="Segoe UI"/>
          <w:b/>
        </w:rPr>
        <w:t>Hunter</w:t>
      </w:r>
      <w:r w:rsidR="00793814">
        <w:rPr>
          <w:rFonts w:ascii="Public Sans" w:hAnsi="Public Sans" w:cs="Segoe UI"/>
        </w:rPr>
        <w:t xml:space="preserve"> region has been the location of the highest number of reports about </w:t>
      </w:r>
      <w:r w:rsidR="00793814" w:rsidRPr="00F47CCE">
        <w:rPr>
          <w:rFonts w:ascii="Public Sans" w:hAnsi="Public Sans" w:cs="Segoe UI"/>
          <w:b/>
        </w:rPr>
        <w:t>older people</w:t>
      </w:r>
      <w:r w:rsidR="00F47CCE">
        <w:rPr>
          <w:rFonts w:ascii="Public Sans" w:hAnsi="Public Sans" w:cs="Segoe UI"/>
        </w:rPr>
        <w:t xml:space="preserve"> (11.2% of the 5,923 reports where the location of the person was known)</w:t>
      </w:r>
      <w:r w:rsidR="00793814">
        <w:rPr>
          <w:rFonts w:ascii="Public Sans" w:hAnsi="Public Sans" w:cs="Segoe UI"/>
        </w:rPr>
        <w:t xml:space="preserve">, </w:t>
      </w:r>
      <w:r w:rsidR="00793814" w:rsidRPr="00F47CCE">
        <w:rPr>
          <w:rFonts w:ascii="Public Sans" w:hAnsi="Public Sans" w:cs="Segoe UI"/>
          <w:b/>
        </w:rPr>
        <w:t>south-west Sydney</w:t>
      </w:r>
      <w:r w:rsidR="00793814">
        <w:rPr>
          <w:rFonts w:ascii="Public Sans" w:hAnsi="Public Sans" w:cs="Segoe UI"/>
        </w:rPr>
        <w:t xml:space="preserve"> has been the main location in relation to </w:t>
      </w:r>
      <w:r w:rsidR="00793814" w:rsidRPr="00F47CCE">
        <w:rPr>
          <w:rFonts w:ascii="Public Sans" w:hAnsi="Public Sans" w:cs="Segoe UI"/>
          <w:b/>
        </w:rPr>
        <w:t>adults with disability</w:t>
      </w:r>
      <w:r w:rsidR="00F47CCE">
        <w:rPr>
          <w:rFonts w:ascii="Public Sans" w:hAnsi="Public Sans" w:cs="Segoe UI"/>
        </w:rPr>
        <w:t xml:space="preserve"> (13.5% of the 1,907 reports were the location of the person was known)</w:t>
      </w:r>
      <w:r w:rsidR="00793814">
        <w:rPr>
          <w:rFonts w:ascii="Public Sans" w:hAnsi="Public Sans" w:cs="Segoe UI"/>
        </w:rPr>
        <w:t xml:space="preserve">. </w:t>
      </w:r>
    </w:p>
    <w:p w:rsidR="005B1133" w:rsidRDefault="005B1133" w:rsidP="00793814">
      <w:pPr>
        <w:rPr>
          <w:rFonts w:ascii="Public Sans" w:hAnsi="Public Sans" w:cs="Segoe UI"/>
        </w:rPr>
      </w:pPr>
    </w:p>
    <w:p w:rsidR="008A1CF3" w:rsidRDefault="00793814" w:rsidP="00793814">
      <w:pPr>
        <w:rPr>
          <w:rFonts w:ascii="Public Sans" w:hAnsi="Public Sans" w:cs="Segoe UI"/>
        </w:rPr>
      </w:pPr>
      <w:r>
        <w:rPr>
          <w:rFonts w:ascii="Public Sans" w:hAnsi="Public Sans" w:cs="Segoe UI"/>
        </w:rPr>
        <w:lastRenderedPageBreak/>
        <w:t>Regional areas outnumber metropolitan areas for both cohorts (52.5% for older people; 52.3% for adults with disability).</w:t>
      </w:r>
    </w:p>
    <w:p w:rsidR="00793814" w:rsidRDefault="00793814" w:rsidP="00793814">
      <w:pPr>
        <w:rPr>
          <w:rFonts w:ascii="Public Sans" w:hAnsi="Public Sans" w:cs="Segoe UI"/>
        </w:rPr>
      </w:pPr>
    </w:p>
    <w:p w:rsidR="008A1CF3" w:rsidRDefault="00793814" w:rsidP="00793814">
      <w:pPr>
        <w:rPr>
          <w:rFonts w:ascii="Public Sans" w:hAnsi="Public Sans" w:cs="Segoe UI"/>
        </w:rPr>
      </w:pPr>
      <w:r w:rsidRPr="00D24FBD">
        <w:rPr>
          <w:rFonts w:ascii="Public Sans" w:hAnsi="Public Sans" w:cs="Segoe UI"/>
          <w:b/>
          <w:sz w:val="18"/>
        </w:rPr>
        <w:t xml:space="preserve">Figure </w:t>
      </w:r>
      <w:r w:rsidR="005B1133">
        <w:rPr>
          <w:rFonts w:ascii="Public Sans" w:hAnsi="Public Sans" w:cs="Segoe UI"/>
          <w:b/>
          <w:sz w:val="18"/>
        </w:rPr>
        <w:t>8</w:t>
      </w:r>
      <w:r w:rsidRPr="00D24FBD">
        <w:rPr>
          <w:rFonts w:ascii="Public Sans" w:hAnsi="Public Sans" w:cs="Segoe UI"/>
          <w:b/>
          <w:sz w:val="18"/>
        </w:rPr>
        <w:t xml:space="preserve">: Location of </w:t>
      </w:r>
      <w:r>
        <w:rPr>
          <w:rFonts w:ascii="Public Sans" w:hAnsi="Public Sans" w:cs="Segoe UI"/>
          <w:b/>
          <w:sz w:val="18"/>
        </w:rPr>
        <w:t>older people</w:t>
      </w:r>
      <w:r w:rsidRPr="00D24FBD">
        <w:rPr>
          <w:rFonts w:ascii="Public Sans" w:hAnsi="Public Sans" w:cs="Segoe UI"/>
          <w:b/>
          <w:sz w:val="18"/>
        </w:rPr>
        <w:t xml:space="preserve"> the subject of a report to the ADC by NSW region, </w:t>
      </w:r>
      <w:r>
        <w:rPr>
          <w:rFonts w:ascii="Public Sans" w:hAnsi="Public Sans" w:cs="Segoe UI"/>
          <w:b/>
          <w:sz w:val="18"/>
        </w:rPr>
        <w:t>2020–</w:t>
      </w:r>
      <w:r w:rsidRPr="00D24FBD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p w:rsidR="008A1CF3" w:rsidRDefault="00793814" w:rsidP="00482D10">
      <w:pPr>
        <w:spacing w:before="120"/>
        <w:rPr>
          <w:rFonts w:ascii="Public Sans" w:hAnsi="Public Sans" w:cs="Segoe UI"/>
        </w:rPr>
      </w:pPr>
      <w:r>
        <w:rPr>
          <w:noProof/>
          <w:lang w:eastAsia="en-AU"/>
        </w:rPr>
        <w:drawing>
          <wp:inline distT="0" distB="0" distL="0" distR="0" wp14:anchorId="17AC530E" wp14:editId="48FAED1E">
            <wp:extent cx="5857875" cy="2724150"/>
            <wp:effectExtent l="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A1CF3" w:rsidRDefault="008A1CF3" w:rsidP="005B1133">
      <w:pPr>
        <w:widowControl w:val="0"/>
        <w:rPr>
          <w:rFonts w:ascii="Public Sans" w:hAnsi="Public Sans" w:cs="Segoe UI"/>
        </w:rPr>
      </w:pPr>
    </w:p>
    <w:p w:rsidR="00F47CCE" w:rsidRDefault="00F47CCE" w:rsidP="005B1133">
      <w:pPr>
        <w:widowControl w:val="0"/>
        <w:rPr>
          <w:rFonts w:ascii="Public Sans" w:hAnsi="Public Sans" w:cs="Segoe UI"/>
        </w:rPr>
      </w:pPr>
    </w:p>
    <w:p w:rsidR="005B1133" w:rsidRDefault="005B1133" w:rsidP="005B1133">
      <w:pPr>
        <w:rPr>
          <w:rFonts w:ascii="Public Sans" w:hAnsi="Public Sans" w:cs="Segoe UI"/>
        </w:rPr>
      </w:pPr>
      <w:r w:rsidRPr="00D24FBD">
        <w:rPr>
          <w:rFonts w:ascii="Public Sans" w:hAnsi="Public Sans" w:cs="Segoe UI"/>
          <w:b/>
          <w:sz w:val="18"/>
        </w:rPr>
        <w:t xml:space="preserve">Figure </w:t>
      </w:r>
      <w:r>
        <w:rPr>
          <w:rFonts w:ascii="Public Sans" w:hAnsi="Public Sans" w:cs="Segoe UI"/>
          <w:b/>
          <w:sz w:val="18"/>
        </w:rPr>
        <w:t>9</w:t>
      </w:r>
      <w:r w:rsidRPr="00D24FBD">
        <w:rPr>
          <w:rFonts w:ascii="Public Sans" w:hAnsi="Public Sans" w:cs="Segoe UI"/>
          <w:b/>
          <w:sz w:val="18"/>
        </w:rPr>
        <w:t xml:space="preserve">: Location of </w:t>
      </w:r>
      <w:r>
        <w:rPr>
          <w:rFonts w:ascii="Public Sans" w:hAnsi="Public Sans" w:cs="Segoe UI"/>
          <w:b/>
          <w:sz w:val="18"/>
        </w:rPr>
        <w:t>adults with disability</w:t>
      </w:r>
      <w:r w:rsidRPr="00D24FBD">
        <w:rPr>
          <w:rFonts w:ascii="Public Sans" w:hAnsi="Public Sans" w:cs="Segoe UI"/>
          <w:b/>
          <w:sz w:val="18"/>
        </w:rPr>
        <w:t xml:space="preserve"> the subject of a report to the ADC by NSW region, </w:t>
      </w:r>
      <w:r>
        <w:rPr>
          <w:rFonts w:ascii="Public Sans" w:hAnsi="Public Sans" w:cs="Segoe UI"/>
          <w:b/>
          <w:sz w:val="18"/>
        </w:rPr>
        <w:t>202</w:t>
      </w:r>
      <w:r w:rsidR="008A7544">
        <w:rPr>
          <w:rFonts w:ascii="Public Sans" w:hAnsi="Public Sans" w:cs="Segoe UI"/>
          <w:b/>
          <w:sz w:val="18"/>
        </w:rPr>
        <w:t>0</w:t>
      </w:r>
      <w:r>
        <w:rPr>
          <w:rFonts w:ascii="Public Sans" w:hAnsi="Public Sans" w:cs="Segoe UI"/>
          <w:b/>
          <w:sz w:val="18"/>
        </w:rPr>
        <w:t>–</w:t>
      </w:r>
      <w:r w:rsidRPr="00D24FBD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p w:rsidR="008A1CF3" w:rsidRDefault="005B1133" w:rsidP="00482D10">
      <w:pPr>
        <w:spacing w:before="120"/>
        <w:rPr>
          <w:rFonts w:ascii="Public Sans" w:hAnsi="Public Sans" w:cs="Segoe UI"/>
        </w:rPr>
      </w:pPr>
      <w:r>
        <w:rPr>
          <w:noProof/>
          <w:lang w:eastAsia="en-AU"/>
        </w:rPr>
        <w:drawing>
          <wp:inline distT="0" distB="0" distL="0" distR="0" wp14:anchorId="0EFB24A6" wp14:editId="53B9BBEF">
            <wp:extent cx="5905500" cy="249555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1CF3" w:rsidRDefault="008A1CF3" w:rsidP="00482D10">
      <w:pPr>
        <w:spacing w:before="120"/>
        <w:rPr>
          <w:rFonts w:ascii="Public Sans" w:hAnsi="Public Sans" w:cs="Segoe UI"/>
        </w:rPr>
      </w:pPr>
    </w:p>
    <w:p w:rsidR="006F791E" w:rsidRDefault="006F791E" w:rsidP="008A1CF3">
      <w:pPr>
        <w:rPr>
          <w:rFonts w:ascii="Public Sans" w:hAnsi="Public Sans"/>
        </w:rPr>
      </w:pPr>
    </w:p>
    <w:p w:rsidR="008A1CF3" w:rsidRDefault="008A1CF3" w:rsidP="008A1CF3">
      <w:pPr>
        <w:rPr>
          <w:rFonts w:ascii="Public Sans" w:hAnsi="Public Sans"/>
        </w:rPr>
      </w:pPr>
      <w:r w:rsidRPr="005576E4">
        <w:rPr>
          <w:rFonts w:ascii="Public Sans" w:hAnsi="Public Sans"/>
        </w:rPr>
        <w:t xml:space="preserve">At a </w:t>
      </w:r>
      <w:r w:rsidRPr="00A63C78">
        <w:rPr>
          <w:rFonts w:ascii="Public Sans" w:hAnsi="Public Sans"/>
        </w:rPr>
        <w:t>Local Government Area</w:t>
      </w:r>
      <w:r w:rsidRPr="005576E4">
        <w:rPr>
          <w:rFonts w:ascii="Public Sans" w:hAnsi="Public Sans"/>
        </w:rPr>
        <w:t xml:space="preserve"> (LGA) level, the adults who were the subjects of a report to the ADC in </w:t>
      </w:r>
      <w:r w:rsidR="00145909">
        <w:rPr>
          <w:rFonts w:ascii="Public Sans" w:hAnsi="Public Sans"/>
        </w:rPr>
        <w:t>2020</w:t>
      </w:r>
      <w:r w:rsidRPr="005576E4">
        <w:rPr>
          <w:rFonts w:ascii="Public Sans" w:hAnsi="Public Sans"/>
        </w:rPr>
        <w:t xml:space="preserve"> – 202</w:t>
      </w:r>
      <w:r>
        <w:rPr>
          <w:rFonts w:ascii="Public Sans" w:hAnsi="Public Sans"/>
        </w:rPr>
        <w:t>2</w:t>
      </w:r>
      <w:r w:rsidRPr="005576E4">
        <w:rPr>
          <w:rFonts w:ascii="Public Sans" w:hAnsi="Public Sans"/>
        </w:rPr>
        <w:t xml:space="preserve"> most commonly lived in the </w:t>
      </w:r>
      <w:r>
        <w:rPr>
          <w:rFonts w:ascii="Public Sans" w:hAnsi="Public Sans"/>
        </w:rPr>
        <w:t xml:space="preserve">Central Coast, Blacktown, and </w:t>
      </w:r>
      <w:r w:rsidR="00704568">
        <w:rPr>
          <w:rFonts w:ascii="Public Sans" w:hAnsi="Public Sans"/>
        </w:rPr>
        <w:t>Canterbury-Bankstown</w:t>
      </w:r>
      <w:r w:rsidRPr="005576E4">
        <w:rPr>
          <w:rFonts w:ascii="Public Sans" w:hAnsi="Public Sans"/>
        </w:rPr>
        <w:t xml:space="preserve"> LGAs.</w:t>
      </w:r>
    </w:p>
    <w:p w:rsidR="000C7110" w:rsidRDefault="000C7110" w:rsidP="008A1CF3">
      <w:pPr>
        <w:rPr>
          <w:rFonts w:ascii="Public Sans" w:hAnsi="Public Sans"/>
        </w:rPr>
      </w:pPr>
    </w:p>
    <w:p w:rsidR="00145909" w:rsidRDefault="00145909" w:rsidP="008A1CF3">
      <w:pPr>
        <w:rPr>
          <w:rFonts w:ascii="Public Sans" w:hAnsi="Public Sans"/>
        </w:rPr>
      </w:pPr>
      <w:r w:rsidRPr="006853E7">
        <w:rPr>
          <w:rFonts w:ascii="Public Sans" w:hAnsi="Public Sans" w:cs="Segoe UI"/>
          <w:b/>
          <w:sz w:val="18"/>
        </w:rPr>
        <w:t xml:space="preserve">Table 4: Main LGAs of people who were the subject of a report to the ADC, </w:t>
      </w:r>
      <w:r>
        <w:rPr>
          <w:rFonts w:ascii="Public Sans" w:hAnsi="Public Sans" w:cs="Segoe UI"/>
          <w:b/>
          <w:sz w:val="18"/>
        </w:rPr>
        <w:t>2020–</w:t>
      </w:r>
      <w:r w:rsidRPr="006853E7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</w:tblGrid>
      <w:tr w:rsidR="00145909" w:rsidRPr="00E07B8F" w:rsidTr="00704568">
        <w:tc>
          <w:tcPr>
            <w:tcW w:w="562" w:type="dxa"/>
            <w:shd w:val="clear" w:color="auto" w:fill="A5CCDF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</w:p>
        </w:tc>
        <w:tc>
          <w:tcPr>
            <w:tcW w:w="2694" w:type="dxa"/>
            <w:shd w:val="clear" w:color="auto" w:fill="A5CCDF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>Local Government Area</w:t>
            </w:r>
          </w:p>
        </w:tc>
        <w:tc>
          <w:tcPr>
            <w:tcW w:w="1984" w:type="dxa"/>
            <w:shd w:val="clear" w:color="auto" w:fill="A5CCDF"/>
          </w:tcPr>
          <w:p w:rsidR="00145909" w:rsidRPr="00E07B8F" w:rsidRDefault="00145909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>Number of cases (n=7,830)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Central Coast</w:t>
            </w:r>
          </w:p>
        </w:tc>
        <w:tc>
          <w:tcPr>
            <w:tcW w:w="1984" w:type="dxa"/>
          </w:tcPr>
          <w:p w:rsidR="00145909" w:rsidRPr="00E07B8F" w:rsidRDefault="00145909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424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Blacktown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387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Canterbury-Bankstown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340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4.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Lake Macquarie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301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5.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Wollongong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255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6.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Campbelltown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231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lastRenderedPageBreak/>
              <w:t>7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Cumberland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218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8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Newcastle</w:t>
            </w:r>
          </w:p>
        </w:tc>
        <w:tc>
          <w:tcPr>
            <w:tcW w:w="198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215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9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Fairfield</w:t>
            </w:r>
          </w:p>
        </w:tc>
        <w:tc>
          <w:tcPr>
            <w:tcW w:w="1984" w:type="dxa"/>
          </w:tcPr>
          <w:p w:rsidR="00145909" w:rsidRPr="00E07B8F" w:rsidRDefault="00145909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175</w:t>
            </w:r>
          </w:p>
        </w:tc>
      </w:tr>
      <w:tr w:rsidR="00145909" w:rsidRPr="00E07B8F" w:rsidTr="00704568">
        <w:tc>
          <w:tcPr>
            <w:tcW w:w="562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10.</w:t>
            </w:r>
          </w:p>
        </w:tc>
        <w:tc>
          <w:tcPr>
            <w:tcW w:w="2694" w:type="dxa"/>
          </w:tcPr>
          <w:p w:rsidR="00145909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Tweed</w:t>
            </w:r>
          </w:p>
        </w:tc>
        <w:tc>
          <w:tcPr>
            <w:tcW w:w="1984" w:type="dxa"/>
          </w:tcPr>
          <w:p w:rsidR="00145909" w:rsidRPr="00E07B8F" w:rsidRDefault="00145909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167</w:t>
            </w:r>
          </w:p>
        </w:tc>
      </w:tr>
    </w:tbl>
    <w:p w:rsidR="00145909" w:rsidRDefault="00145909" w:rsidP="008A1CF3">
      <w:pPr>
        <w:rPr>
          <w:rFonts w:ascii="Public Sans" w:hAnsi="Public Sans"/>
          <w:noProof/>
          <w:lang w:eastAsia="en-AU"/>
        </w:rPr>
      </w:pPr>
    </w:p>
    <w:p w:rsidR="006F791E" w:rsidRDefault="006C7EDF" w:rsidP="008A1CF3">
      <w:pPr>
        <w:rPr>
          <w:rFonts w:ascii="Public Sans" w:hAnsi="Public Sans"/>
          <w:noProof/>
          <w:lang w:eastAsia="en-AU"/>
        </w:rPr>
      </w:pPr>
      <w:r>
        <w:rPr>
          <w:rFonts w:ascii="Public Sans" w:hAnsi="Public Sans"/>
          <w:noProof/>
          <w:lang w:eastAsia="en-AU"/>
        </w:rPr>
        <w:t>While m</w:t>
      </w:r>
      <w:r w:rsidR="00415A30">
        <w:rPr>
          <w:rFonts w:ascii="Public Sans" w:hAnsi="Public Sans"/>
          <w:noProof/>
          <w:lang w:eastAsia="en-AU"/>
        </w:rPr>
        <w:t>any</w:t>
      </w:r>
      <w:r>
        <w:rPr>
          <w:rFonts w:ascii="Public Sans" w:hAnsi="Public Sans"/>
          <w:noProof/>
          <w:lang w:eastAsia="en-AU"/>
        </w:rPr>
        <w:t xml:space="preserve"> of the same LGAs feature in reports about older people and adults with disability, there are some differences. </w:t>
      </w:r>
    </w:p>
    <w:p w:rsidR="006F791E" w:rsidRDefault="006F791E" w:rsidP="008A1CF3">
      <w:pPr>
        <w:rPr>
          <w:rFonts w:ascii="Public Sans" w:hAnsi="Public Sans"/>
          <w:noProof/>
          <w:lang w:eastAsia="en-AU"/>
        </w:rPr>
      </w:pPr>
    </w:p>
    <w:p w:rsidR="00145909" w:rsidRPr="005576E4" w:rsidRDefault="006C7EDF" w:rsidP="008A1CF3">
      <w:pPr>
        <w:rPr>
          <w:rFonts w:ascii="Public Sans" w:hAnsi="Public Sans"/>
          <w:noProof/>
          <w:lang w:eastAsia="en-AU"/>
        </w:rPr>
      </w:pPr>
      <w:r>
        <w:rPr>
          <w:rFonts w:ascii="Public Sans" w:hAnsi="Public Sans"/>
          <w:noProof/>
          <w:lang w:eastAsia="en-AU"/>
        </w:rPr>
        <w:t xml:space="preserve">Blacktown was the most common LGA of adults with disability, </w:t>
      </w:r>
      <w:r w:rsidR="00415A30">
        <w:rPr>
          <w:rFonts w:ascii="Public Sans" w:hAnsi="Public Sans"/>
          <w:noProof/>
          <w:lang w:eastAsia="en-AU"/>
        </w:rPr>
        <w:t xml:space="preserve">compared with the Central Coast for older people. Cumberland, </w:t>
      </w:r>
      <w:r>
        <w:rPr>
          <w:rFonts w:ascii="Public Sans" w:hAnsi="Public Sans"/>
          <w:noProof/>
          <w:lang w:eastAsia="en-AU"/>
        </w:rPr>
        <w:t>Fairfield</w:t>
      </w:r>
      <w:r w:rsidR="00415A30">
        <w:rPr>
          <w:rFonts w:ascii="Public Sans" w:hAnsi="Public Sans"/>
          <w:noProof/>
          <w:lang w:eastAsia="en-AU"/>
        </w:rPr>
        <w:t xml:space="preserve"> and </w:t>
      </w:r>
      <w:r>
        <w:rPr>
          <w:rFonts w:ascii="Public Sans" w:hAnsi="Public Sans"/>
          <w:noProof/>
          <w:lang w:eastAsia="en-AU"/>
        </w:rPr>
        <w:t>Penrith</w:t>
      </w:r>
      <w:r w:rsidR="00415A30">
        <w:rPr>
          <w:rFonts w:ascii="Public Sans" w:hAnsi="Public Sans"/>
          <w:noProof/>
          <w:lang w:eastAsia="en-AU"/>
        </w:rPr>
        <w:t xml:space="preserve"> </w:t>
      </w:r>
      <w:r>
        <w:rPr>
          <w:rFonts w:ascii="Public Sans" w:hAnsi="Public Sans"/>
          <w:noProof/>
          <w:lang w:eastAsia="en-AU"/>
        </w:rPr>
        <w:t>LGA</w:t>
      </w:r>
      <w:r w:rsidR="00415A30">
        <w:rPr>
          <w:rFonts w:ascii="Public Sans" w:hAnsi="Public Sans"/>
          <w:noProof/>
          <w:lang w:eastAsia="en-AU"/>
        </w:rPr>
        <w:t>s</w:t>
      </w:r>
      <w:r>
        <w:rPr>
          <w:rFonts w:ascii="Public Sans" w:hAnsi="Public Sans"/>
          <w:noProof/>
          <w:lang w:eastAsia="en-AU"/>
        </w:rPr>
        <w:t xml:space="preserve"> </w:t>
      </w:r>
      <w:r w:rsidR="00415A30">
        <w:rPr>
          <w:rFonts w:ascii="Public Sans" w:hAnsi="Public Sans"/>
          <w:noProof/>
          <w:lang w:eastAsia="en-AU"/>
        </w:rPr>
        <w:t>were in the top 10 only for adults with disability; Tweed, Mid Coast and Bayside LGAs were in the top 10 only for older people.</w:t>
      </w:r>
      <w:r>
        <w:rPr>
          <w:rFonts w:ascii="Public Sans" w:hAnsi="Public Sans"/>
          <w:noProof/>
          <w:lang w:eastAsia="en-AU"/>
        </w:rPr>
        <w:t xml:space="preserve">   </w:t>
      </w:r>
    </w:p>
    <w:p w:rsidR="008A1CF3" w:rsidRPr="005576E4" w:rsidRDefault="008A1CF3" w:rsidP="008A1CF3">
      <w:pPr>
        <w:rPr>
          <w:rFonts w:ascii="Public Sans" w:hAnsi="Public Sans"/>
          <w:noProof/>
          <w:lang w:eastAsia="en-AU"/>
        </w:rPr>
      </w:pPr>
    </w:p>
    <w:p w:rsidR="008A1CF3" w:rsidRPr="006853E7" w:rsidRDefault="008A1CF3" w:rsidP="008A1CF3">
      <w:pPr>
        <w:rPr>
          <w:rFonts w:ascii="Public Sans" w:hAnsi="Public Sans" w:cs="Segoe UI"/>
          <w:b/>
          <w:sz w:val="18"/>
        </w:rPr>
      </w:pPr>
      <w:r w:rsidRPr="006853E7">
        <w:rPr>
          <w:rFonts w:ascii="Public Sans" w:hAnsi="Public Sans" w:cs="Segoe UI"/>
          <w:b/>
          <w:sz w:val="18"/>
        </w:rPr>
        <w:t xml:space="preserve">Table </w:t>
      </w:r>
      <w:r w:rsidR="00704568">
        <w:rPr>
          <w:rFonts w:ascii="Public Sans" w:hAnsi="Public Sans" w:cs="Segoe UI"/>
          <w:b/>
          <w:sz w:val="18"/>
        </w:rPr>
        <w:t>5</w:t>
      </w:r>
      <w:r w:rsidRPr="006853E7">
        <w:rPr>
          <w:rFonts w:ascii="Public Sans" w:hAnsi="Public Sans" w:cs="Segoe UI"/>
          <w:b/>
          <w:sz w:val="18"/>
        </w:rPr>
        <w:t xml:space="preserve">: Main LGAs of </w:t>
      </w:r>
      <w:r w:rsidR="00145909">
        <w:rPr>
          <w:rFonts w:ascii="Public Sans" w:hAnsi="Public Sans" w:cs="Segoe UI"/>
          <w:b/>
          <w:sz w:val="18"/>
        </w:rPr>
        <w:t xml:space="preserve">older </w:t>
      </w:r>
      <w:r w:rsidRPr="006853E7">
        <w:rPr>
          <w:rFonts w:ascii="Public Sans" w:hAnsi="Public Sans" w:cs="Segoe UI"/>
          <w:b/>
          <w:sz w:val="18"/>
        </w:rPr>
        <w:t xml:space="preserve">people who were the subject of a report to the ADC, </w:t>
      </w:r>
      <w:r w:rsidR="00145909">
        <w:rPr>
          <w:rFonts w:ascii="Public Sans" w:hAnsi="Public Sans" w:cs="Segoe UI"/>
          <w:b/>
          <w:sz w:val="18"/>
        </w:rPr>
        <w:t>2020–</w:t>
      </w:r>
      <w:r w:rsidRPr="006853E7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</w:tblGrid>
      <w:tr w:rsidR="008A1CF3" w:rsidRPr="00E07B8F" w:rsidTr="00704568">
        <w:tc>
          <w:tcPr>
            <w:tcW w:w="562" w:type="dxa"/>
            <w:shd w:val="clear" w:color="auto" w:fill="A5CCDF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</w:p>
        </w:tc>
        <w:tc>
          <w:tcPr>
            <w:tcW w:w="2694" w:type="dxa"/>
            <w:shd w:val="clear" w:color="auto" w:fill="A5CCDF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>Local Government Area</w:t>
            </w:r>
          </w:p>
        </w:tc>
        <w:tc>
          <w:tcPr>
            <w:tcW w:w="1984" w:type="dxa"/>
            <w:shd w:val="clear" w:color="auto" w:fill="A5CCDF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>Number of cases</w:t>
            </w:r>
            <w:r w:rsidR="00145909"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 xml:space="preserve"> (n=5,923)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1.</w:t>
            </w:r>
          </w:p>
        </w:tc>
        <w:tc>
          <w:tcPr>
            <w:tcW w:w="2694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Central Coast</w:t>
            </w:r>
          </w:p>
        </w:tc>
        <w:tc>
          <w:tcPr>
            <w:tcW w:w="1984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2</w:t>
            </w: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4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2.</w:t>
            </w:r>
          </w:p>
        </w:tc>
        <w:tc>
          <w:tcPr>
            <w:tcW w:w="2694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Blacktown</w:t>
            </w:r>
          </w:p>
        </w:tc>
        <w:tc>
          <w:tcPr>
            <w:tcW w:w="1984" w:type="dxa"/>
          </w:tcPr>
          <w:p w:rsidR="008A1CF3" w:rsidRPr="00E07B8F" w:rsidRDefault="008A1CF3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84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Canterbury-Bankstown</w:t>
            </w:r>
          </w:p>
        </w:tc>
        <w:tc>
          <w:tcPr>
            <w:tcW w:w="1984" w:type="dxa"/>
          </w:tcPr>
          <w:p w:rsidR="008A1CF3" w:rsidRPr="00E07B8F" w:rsidRDefault="008A1CF3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38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4.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Lake Macquarie</w:t>
            </w:r>
          </w:p>
        </w:tc>
        <w:tc>
          <w:tcPr>
            <w:tcW w:w="1984" w:type="dxa"/>
          </w:tcPr>
          <w:p w:rsidR="008A1CF3" w:rsidRPr="00E07B8F" w:rsidRDefault="008A1CF3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18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5.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Wollongong</w:t>
            </w:r>
          </w:p>
        </w:tc>
        <w:tc>
          <w:tcPr>
            <w:tcW w:w="198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187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6.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Newcastle</w:t>
            </w:r>
          </w:p>
        </w:tc>
        <w:tc>
          <w:tcPr>
            <w:tcW w:w="198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154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7</w:t>
            </w:r>
            <w:r w:rsidR="008A1CF3" w:rsidRPr="00E07B8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Tweed</w:t>
            </w:r>
          </w:p>
        </w:tc>
        <w:tc>
          <w:tcPr>
            <w:tcW w:w="198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145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8</w:t>
            </w:r>
            <w:r w:rsidR="008A1CF3" w:rsidRPr="00E07B8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Mid Coast</w:t>
            </w:r>
          </w:p>
        </w:tc>
        <w:tc>
          <w:tcPr>
            <w:tcW w:w="198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136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8</w:t>
            </w:r>
            <w:r w:rsidR="008A1CF3" w:rsidRPr="00E07B8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Bayside</w:t>
            </w:r>
          </w:p>
        </w:tc>
        <w:tc>
          <w:tcPr>
            <w:tcW w:w="1984" w:type="dxa"/>
          </w:tcPr>
          <w:p w:rsidR="008A1CF3" w:rsidRPr="00E07B8F" w:rsidRDefault="008A1CF3" w:rsidP="00145909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</w:t>
            </w:r>
            <w:r w:rsidR="00145909" w:rsidRPr="00E07B8F">
              <w:rPr>
                <w:rFonts w:ascii="Public Sans" w:eastAsia="Helvetica" w:hAnsi="Public Sans" w:cs="Segoe UI"/>
                <w:sz w:val="20"/>
                <w:szCs w:val="21"/>
              </w:rPr>
              <w:t>36</w:t>
            </w:r>
          </w:p>
        </w:tc>
      </w:tr>
      <w:tr w:rsidR="008A1CF3" w:rsidRPr="00E07B8F" w:rsidTr="00704568">
        <w:tc>
          <w:tcPr>
            <w:tcW w:w="562" w:type="dxa"/>
          </w:tcPr>
          <w:p w:rsidR="008A1CF3" w:rsidRPr="00E07B8F" w:rsidRDefault="008A1CF3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10.</w:t>
            </w:r>
          </w:p>
        </w:tc>
        <w:tc>
          <w:tcPr>
            <w:tcW w:w="269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Campbelltown</w:t>
            </w:r>
          </w:p>
        </w:tc>
        <w:tc>
          <w:tcPr>
            <w:tcW w:w="1984" w:type="dxa"/>
          </w:tcPr>
          <w:p w:rsidR="008A1CF3" w:rsidRPr="00E07B8F" w:rsidRDefault="00145909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130</w:t>
            </w:r>
          </w:p>
        </w:tc>
      </w:tr>
    </w:tbl>
    <w:p w:rsidR="00886467" w:rsidRDefault="00886467"/>
    <w:p w:rsidR="00946C75" w:rsidRDefault="00704568">
      <w:r w:rsidRPr="006853E7">
        <w:rPr>
          <w:rFonts w:ascii="Public Sans" w:hAnsi="Public Sans" w:cs="Segoe UI"/>
          <w:b/>
          <w:sz w:val="18"/>
        </w:rPr>
        <w:t xml:space="preserve">Table </w:t>
      </w:r>
      <w:r>
        <w:rPr>
          <w:rFonts w:ascii="Public Sans" w:hAnsi="Public Sans" w:cs="Segoe UI"/>
          <w:b/>
          <w:sz w:val="18"/>
        </w:rPr>
        <w:t>6</w:t>
      </w:r>
      <w:r w:rsidRPr="006853E7">
        <w:rPr>
          <w:rFonts w:ascii="Public Sans" w:hAnsi="Public Sans" w:cs="Segoe UI"/>
          <w:b/>
          <w:sz w:val="18"/>
        </w:rPr>
        <w:t xml:space="preserve">: Main LGAs of </w:t>
      </w:r>
      <w:r>
        <w:rPr>
          <w:rFonts w:ascii="Public Sans" w:hAnsi="Public Sans" w:cs="Segoe UI"/>
          <w:b/>
          <w:sz w:val="18"/>
        </w:rPr>
        <w:t xml:space="preserve">adults with disability </w:t>
      </w:r>
      <w:r w:rsidRPr="006853E7">
        <w:rPr>
          <w:rFonts w:ascii="Public Sans" w:hAnsi="Public Sans" w:cs="Segoe UI"/>
          <w:b/>
          <w:sz w:val="18"/>
        </w:rPr>
        <w:t xml:space="preserve">people who were the subject of a report to the ADC, </w:t>
      </w:r>
      <w:r>
        <w:rPr>
          <w:rFonts w:ascii="Public Sans" w:hAnsi="Public Sans" w:cs="Segoe UI"/>
          <w:b/>
          <w:sz w:val="18"/>
        </w:rPr>
        <w:t>2020–</w:t>
      </w:r>
      <w:r w:rsidRPr="006853E7">
        <w:rPr>
          <w:rFonts w:ascii="Public Sans" w:hAnsi="Public Sans" w:cs="Segoe UI"/>
          <w:b/>
          <w:sz w:val="18"/>
        </w:rPr>
        <w:t>2</w:t>
      </w:r>
      <w:r>
        <w:rPr>
          <w:rFonts w:ascii="Public Sans" w:hAnsi="Public Sans" w:cs="Segoe UI"/>
          <w:b/>
          <w:sz w:val="1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</w:tblGrid>
      <w:tr w:rsidR="00704568" w:rsidRPr="00E07B8F" w:rsidTr="00704568">
        <w:tc>
          <w:tcPr>
            <w:tcW w:w="562" w:type="dxa"/>
            <w:shd w:val="clear" w:color="auto" w:fill="A5CCDF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</w:p>
        </w:tc>
        <w:tc>
          <w:tcPr>
            <w:tcW w:w="2694" w:type="dxa"/>
            <w:shd w:val="clear" w:color="auto" w:fill="A5CCDF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>Local Government Area</w:t>
            </w:r>
          </w:p>
        </w:tc>
        <w:tc>
          <w:tcPr>
            <w:tcW w:w="1984" w:type="dxa"/>
            <w:shd w:val="clear" w:color="auto" w:fill="A5CCDF"/>
          </w:tcPr>
          <w:p w:rsidR="00704568" w:rsidRPr="00E07B8F" w:rsidRDefault="00704568" w:rsidP="00704568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b/>
                <w:sz w:val="20"/>
                <w:szCs w:val="21"/>
              </w:rPr>
              <w:t>Number of cases (n=1,907)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Blacktown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103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2.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Canterbury-Bankstown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102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3.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Campbelltown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101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4.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Central Coast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100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5.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Lake Macquarie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83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6.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Wollongong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68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7.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Cumberland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67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8.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Newcastle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61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9.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Fairfield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54</w:t>
            </w:r>
          </w:p>
        </w:tc>
      </w:tr>
      <w:tr w:rsidR="00704568" w:rsidRPr="00E07B8F" w:rsidTr="00704568">
        <w:tc>
          <w:tcPr>
            <w:tcW w:w="562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10.</w:t>
            </w:r>
          </w:p>
        </w:tc>
        <w:tc>
          <w:tcPr>
            <w:tcW w:w="269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Penrith</w:t>
            </w:r>
          </w:p>
        </w:tc>
        <w:tc>
          <w:tcPr>
            <w:tcW w:w="1984" w:type="dxa"/>
          </w:tcPr>
          <w:p w:rsidR="00704568" w:rsidRPr="00E07B8F" w:rsidRDefault="00704568" w:rsidP="00A115F0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E07B8F">
              <w:rPr>
                <w:rFonts w:ascii="Public Sans" w:eastAsia="Helvetica" w:hAnsi="Public Sans" w:cs="Segoe UI"/>
                <w:sz w:val="20"/>
                <w:szCs w:val="21"/>
              </w:rPr>
              <w:t>50</w:t>
            </w:r>
          </w:p>
        </w:tc>
      </w:tr>
    </w:tbl>
    <w:p w:rsidR="00EE6D14" w:rsidRPr="00EE6D14" w:rsidRDefault="00EE6D14" w:rsidP="00EE6D14">
      <w:pPr>
        <w:pStyle w:val="Heading1"/>
        <w:keepNext w:val="0"/>
        <w:keepLines w:val="0"/>
        <w:widowControl w:val="0"/>
        <w:spacing w:before="0" w:after="0"/>
        <w:rPr>
          <w:rFonts w:ascii="Public Sans" w:hAnsi="Public Sans" w:cs="Segoe UI"/>
          <w:color w:val="auto"/>
        </w:rPr>
      </w:pPr>
    </w:p>
    <w:p w:rsidR="005A1F97" w:rsidRPr="00DB1BB2" w:rsidRDefault="005A1F97" w:rsidP="005A1F97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/>
        <w:ind w:left="426" w:hanging="426"/>
        <w:rPr>
          <w:rFonts w:ascii="Public Sans" w:hAnsi="Public Sans" w:cs="Segoe UI"/>
          <w:b/>
          <w:color w:val="auto"/>
        </w:rPr>
      </w:pPr>
      <w:r w:rsidRPr="00DB1BB2">
        <w:rPr>
          <w:rFonts w:ascii="Public Sans" w:hAnsi="Public Sans" w:cs="Segoe UI"/>
          <w:b/>
          <w:color w:val="auto"/>
        </w:rPr>
        <w:t>Reporters</w:t>
      </w:r>
    </w:p>
    <w:p w:rsidR="005A1F97" w:rsidRPr="008A7544" w:rsidRDefault="005A1F97" w:rsidP="005A1F97">
      <w:pPr>
        <w:pStyle w:val="Heading2"/>
        <w:rPr>
          <w:rFonts w:ascii="Public Sans" w:hAnsi="Public Sans"/>
          <w:b/>
          <w:color w:val="auto"/>
          <w:sz w:val="20"/>
        </w:rPr>
      </w:pPr>
    </w:p>
    <w:p w:rsidR="005A1F97" w:rsidRPr="00DB1BB2" w:rsidRDefault="005A1F97" w:rsidP="005A1F97">
      <w:pPr>
        <w:pStyle w:val="Heading2"/>
        <w:rPr>
          <w:rFonts w:ascii="Public Sans" w:hAnsi="Public Sans"/>
          <w:b/>
          <w:color w:val="auto"/>
        </w:rPr>
      </w:pPr>
      <w:r w:rsidRPr="00DB1BB2">
        <w:rPr>
          <w:rFonts w:ascii="Public Sans" w:hAnsi="Public Sans"/>
          <w:b/>
          <w:color w:val="auto"/>
        </w:rPr>
        <w:t>3.1 Relationship of reporter to the adult</w:t>
      </w:r>
    </w:p>
    <w:p w:rsidR="005A1F97" w:rsidRPr="008A7544" w:rsidRDefault="005A1F97" w:rsidP="005A1F97">
      <w:pPr>
        <w:pStyle w:val="Heading3"/>
        <w:spacing w:before="0"/>
        <w:rPr>
          <w:rFonts w:ascii="Public Sans" w:hAnsi="Public Sans"/>
          <w:b/>
          <w:color w:val="auto"/>
          <w:sz w:val="20"/>
        </w:rPr>
      </w:pPr>
    </w:p>
    <w:p w:rsidR="005A1F97" w:rsidRPr="005C0C0B" w:rsidRDefault="005A1F97" w:rsidP="005A1F97">
      <w:pPr>
        <w:pStyle w:val="Heading3"/>
        <w:spacing w:before="0"/>
        <w:rPr>
          <w:rFonts w:ascii="Public Sans" w:hAnsi="Public Sans"/>
          <w:b/>
          <w:color w:val="auto"/>
        </w:rPr>
      </w:pPr>
      <w:r w:rsidRPr="005C0C0B">
        <w:rPr>
          <w:rFonts w:ascii="Public Sans" w:hAnsi="Public Sans"/>
          <w:b/>
          <w:color w:val="auto"/>
        </w:rPr>
        <w:t>Older people</w:t>
      </w:r>
    </w:p>
    <w:p w:rsidR="009527B5" w:rsidRDefault="005A1F97" w:rsidP="005A1F97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Adult children (28.6</w:t>
      </w:r>
      <w:r w:rsidR="008A7544">
        <w:rPr>
          <w:rFonts w:ascii="Public Sans" w:eastAsia="Helvetica" w:hAnsi="Public Sans" w:cs="Segoe UI"/>
        </w:rPr>
        <w:t>%</w:t>
      </w:r>
      <w:r>
        <w:rPr>
          <w:rFonts w:ascii="Public Sans" w:eastAsia="Helvetica" w:hAnsi="Public Sans" w:cs="Segoe UI"/>
        </w:rPr>
        <w:t xml:space="preserve">) and paid workers (28.3%) were </w:t>
      </w:r>
      <w:r w:rsidRPr="005576E4">
        <w:rPr>
          <w:rFonts w:ascii="Public Sans" w:eastAsia="Helvetica" w:hAnsi="Public Sans" w:cs="Segoe UI"/>
        </w:rPr>
        <w:t xml:space="preserve">the main source of </w:t>
      </w:r>
      <w:r w:rsidR="008A7544">
        <w:rPr>
          <w:rFonts w:ascii="Public Sans" w:eastAsia="Helvetica" w:hAnsi="Public Sans" w:cs="Segoe UI"/>
        </w:rPr>
        <w:t xml:space="preserve">the 8,462 </w:t>
      </w:r>
      <w:r w:rsidRPr="005576E4">
        <w:rPr>
          <w:rFonts w:ascii="Public Sans" w:eastAsia="Helvetica" w:hAnsi="Public Sans" w:cs="Segoe UI"/>
        </w:rPr>
        <w:t xml:space="preserve">reports to the ADC about older people in </w:t>
      </w:r>
      <w:r>
        <w:rPr>
          <w:rFonts w:ascii="Public Sans" w:eastAsia="Helvetica" w:hAnsi="Public Sans" w:cs="Segoe UI"/>
        </w:rPr>
        <w:t>2020</w:t>
      </w:r>
      <w:r w:rsidRPr="005576E4">
        <w:rPr>
          <w:rFonts w:ascii="Public Sans" w:eastAsia="Helvetica" w:hAnsi="Public Sans" w:cs="Segoe UI"/>
        </w:rPr>
        <w:t xml:space="preserve"> –</w:t>
      </w:r>
      <w:r>
        <w:rPr>
          <w:rFonts w:ascii="Public Sans" w:eastAsia="Helvetica" w:hAnsi="Public Sans" w:cs="Segoe UI"/>
        </w:rPr>
        <w:t xml:space="preserve"> </w:t>
      </w:r>
      <w:r w:rsidRPr="005576E4">
        <w:rPr>
          <w:rFonts w:ascii="Public Sans" w:eastAsia="Helvetica" w:hAnsi="Public Sans" w:cs="Segoe UI"/>
        </w:rPr>
        <w:t>202</w:t>
      </w:r>
      <w:r>
        <w:rPr>
          <w:rFonts w:ascii="Public Sans" w:eastAsia="Helvetica" w:hAnsi="Public Sans" w:cs="Segoe UI"/>
        </w:rPr>
        <w:t>2</w:t>
      </w:r>
      <w:r w:rsidRPr="005576E4">
        <w:rPr>
          <w:rFonts w:ascii="Public Sans" w:eastAsia="Helvetica" w:hAnsi="Public Sans" w:cs="Segoe UI"/>
        </w:rPr>
        <w:t xml:space="preserve">. </w:t>
      </w:r>
    </w:p>
    <w:p w:rsidR="009527B5" w:rsidRDefault="009527B5" w:rsidP="009527B5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:rsidR="005A1F97" w:rsidRDefault="005A1F97" w:rsidP="009527B5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 xml:space="preserve">Over the three-year period, there </w:t>
      </w:r>
      <w:r w:rsidR="008A7544">
        <w:rPr>
          <w:rFonts w:ascii="Public Sans" w:eastAsia="Helvetica" w:hAnsi="Public Sans" w:cs="Segoe UI"/>
        </w:rPr>
        <w:t>was</w:t>
      </w:r>
      <w:r>
        <w:rPr>
          <w:rFonts w:ascii="Public Sans" w:eastAsia="Helvetica" w:hAnsi="Public Sans" w:cs="Segoe UI"/>
        </w:rPr>
        <w:t xml:space="preserve"> an increase in reports by friends (from 5.8% to 6.1%) and a recent increase in reports by paid workers (from 26.3% to 30.2%)</w:t>
      </w:r>
      <w:r w:rsidR="00DD013C">
        <w:rPr>
          <w:rFonts w:ascii="Public Sans" w:eastAsia="Helvetica" w:hAnsi="Public Sans" w:cs="Segoe UI"/>
        </w:rPr>
        <w:t xml:space="preserve">. </w:t>
      </w:r>
      <w:r w:rsidR="008A7544">
        <w:rPr>
          <w:rFonts w:ascii="Public Sans" w:hAnsi="Public Sans"/>
        </w:rPr>
        <w:t>Overall, 1</w:t>
      </w:r>
      <w:r w:rsidR="006F791E">
        <w:rPr>
          <w:rFonts w:ascii="Public Sans" w:hAnsi="Public Sans"/>
        </w:rPr>
        <w:t>5.6</w:t>
      </w:r>
      <w:r w:rsidR="008A7544">
        <w:rPr>
          <w:rFonts w:ascii="Public Sans" w:hAnsi="Public Sans"/>
        </w:rPr>
        <w:t xml:space="preserve">% of reports about </w:t>
      </w:r>
      <w:r w:rsidR="006F791E">
        <w:rPr>
          <w:rFonts w:ascii="Public Sans" w:hAnsi="Public Sans"/>
        </w:rPr>
        <w:t>older people</w:t>
      </w:r>
      <w:r w:rsidR="008A7544">
        <w:rPr>
          <w:rFonts w:ascii="Public Sans" w:hAnsi="Public Sans"/>
        </w:rPr>
        <w:t xml:space="preserve"> in 2020 – 2022 were made by the </w:t>
      </w:r>
      <w:r w:rsidR="006F791E">
        <w:rPr>
          <w:rFonts w:ascii="Public Sans" w:hAnsi="Public Sans"/>
        </w:rPr>
        <w:t>adult themselves</w:t>
      </w:r>
      <w:r w:rsidR="008A7544">
        <w:rPr>
          <w:rFonts w:ascii="Public Sans" w:hAnsi="Public Sans"/>
        </w:rPr>
        <w:t>.</w:t>
      </w:r>
    </w:p>
    <w:p w:rsidR="005A1F97" w:rsidRPr="005576E4" w:rsidRDefault="005A1F97" w:rsidP="005A1F9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</w:p>
    <w:p w:rsidR="005A1F97" w:rsidRDefault="005A1F97" w:rsidP="005A1F9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944672">
        <w:rPr>
          <w:rFonts w:ascii="Public Sans" w:eastAsia="Helvetica" w:hAnsi="Public Sans" w:cs="Segoe UI"/>
          <w:b/>
          <w:sz w:val="18"/>
        </w:rPr>
        <w:t xml:space="preserve">Figure </w:t>
      </w:r>
      <w:r w:rsidR="00A43CC0">
        <w:rPr>
          <w:rFonts w:ascii="Public Sans" w:eastAsia="Helvetica" w:hAnsi="Public Sans" w:cs="Segoe UI"/>
          <w:b/>
          <w:sz w:val="18"/>
        </w:rPr>
        <w:t>10</w:t>
      </w:r>
      <w:r w:rsidRPr="00944672">
        <w:rPr>
          <w:rFonts w:ascii="Public Sans" w:eastAsia="Helvetica" w:hAnsi="Public Sans" w:cs="Segoe UI"/>
          <w:b/>
          <w:sz w:val="18"/>
        </w:rPr>
        <w:t xml:space="preserve">: Relationship of reporter to the older person in reports to the ADC, </w:t>
      </w:r>
      <w:r>
        <w:rPr>
          <w:rFonts w:ascii="Public Sans" w:eastAsia="Helvetica" w:hAnsi="Public Sans" w:cs="Segoe UI"/>
          <w:b/>
          <w:sz w:val="18"/>
        </w:rPr>
        <w:t>Oct</w:t>
      </w:r>
      <w:r w:rsidRPr="00944672">
        <w:rPr>
          <w:rFonts w:ascii="Public Sans" w:eastAsia="Helvetica" w:hAnsi="Public Sans" w:cs="Segoe UI"/>
          <w:b/>
          <w:sz w:val="18"/>
        </w:rPr>
        <w:t>-</w:t>
      </w:r>
      <w:r>
        <w:rPr>
          <w:rFonts w:ascii="Public Sans" w:eastAsia="Helvetica" w:hAnsi="Public Sans" w:cs="Segoe UI"/>
          <w:b/>
          <w:sz w:val="18"/>
        </w:rPr>
        <w:t>Dec</w:t>
      </w:r>
      <w:r w:rsidRPr="00944672">
        <w:rPr>
          <w:rFonts w:ascii="Public Sans" w:eastAsia="Helvetica" w:hAnsi="Public Sans" w:cs="Segoe UI"/>
          <w:b/>
          <w:sz w:val="18"/>
        </w:rPr>
        <w:t xml:space="preserve"> 202</w:t>
      </w:r>
      <w:r>
        <w:rPr>
          <w:rFonts w:ascii="Public Sans" w:eastAsia="Helvetica" w:hAnsi="Public Sans" w:cs="Segoe UI"/>
          <w:b/>
          <w:sz w:val="18"/>
        </w:rPr>
        <w:t>2</w:t>
      </w:r>
    </w:p>
    <w:p w:rsidR="000829DC" w:rsidRDefault="000829DC">
      <w:r>
        <w:rPr>
          <w:noProof/>
          <w:lang w:eastAsia="en-AU"/>
        </w:rPr>
        <w:drawing>
          <wp:inline distT="0" distB="0" distL="0" distR="0" wp14:anchorId="69E551A6" wp14:editId="77AEA963">
            <wp:extent cx="5829300" cy="231457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5A28" w:rsidRPr="006F791E" w:rsidRDefault="002B5A28" w:rsidP="00E07B8F">
      <w:pPr>
        <w:pStyle w:val="Heading3"/>
        <w:spacing w:before="0"/>
        <w:rPr>
          <w:rFonts w:ascii="Public Sans" w:eastAsia="Helvetica" w:hAnsi="Public Sans"/>
          <w:b/>
          <w:color w:val="auto"/>
          <w:sz w:val="20"/>
        </w:rPr>
      </w:pPr>
    </w:p>
    <w:p w:rsidR="00E07B8F" w:rsidRPr="009A2E70" w:rsidRDefault="00E07B8F" w:rsidP="00E07B8F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9A2E70">
        <w:rPr>
          <w:rFonts w:ascii="Public Sans" w:eastAsia="Helvetica" w:hAnsi="Public Sans"/>
          <w:b/>
          <w:color w:val="auto"/>
        </w:rPr>
        <w:t>Adults with disability</w:t>
      </w:r>
    </w:p>
    <w:p w:rsidR="00E07B8F" w:rsidRDefault="00E07B8F" w:rsidP="00E07B8F">
      <w:pPr>
        <w:spacing w:before="120"/>
        <w:rPr>
          <w:rFonts w:ascii="Public Sans" w:hAnsi="Public Sans"/>
        </w:rPr>
      </w:pPr>
      <w:r>
        <w:rPr>
          <w:rFonts w:ascii="Public Sans" w:hAnsi="Public Sans"/>
        </w:rPr>
        <w:t>P</w:t>
      </w:r>
      <w:r w:rsidRPr="005576E4">
        <w:rPr>
          <w:rFonts w:ascii="Public Sans" w:hAnsi="Public Sans"/>
        </w:rPr>
        <w:t xml:space="preserve">aid workers </w:t>
      </w:r>
      <w:r>
        <w:rPr>
          <w:rFonts w:ascii="Public Sans" w:hAnsi="Public Sans"/>
        </w:rPr>
        <w:t xml:space="preserve">have been </w:t>
      </w:r>
      <w:r w:rsidRPr="005576E4">
        <w:rPr>
          <w:rFonts w:ascii="Public Sans" w:hAnsi="Public Sans"/>
        </w:rPr>
        <w:t>the main source of reports to the ADC about adults with disability</w:t>
      </w:r>
      <w:r>
        <w:rPr>
          <w:rFonts w:ascii="Public Sans" w:hAnsi="Public Sans"/>
        </w:rPr>
        <w:t>, accounting for 61.4% of the 2,501 reports</w:t>
      </w:r>
      <w:r w:rsidRPr="005576E4">
        <w:rPr>
          <w:rFonts w:ascii="Public Sans" w:hAnsi="Public Sans"/>
        </w:rPr>
        <w:t xml:space="preserve"> in </w:t>
      </w:r>
      <w:r>
        <w:rPr>
          <w:rFonts w:ascii="Public Sans" w:hAnsi="Public Sans"/>
        </w:rPr>
        <w:t>2020</w:t>
      </w:r>
      <w:r w:rsidRPr="005576E4">
        <w:rPr>
          <w:rFonts w:ascii="Public Sans" w:hAnsi="Public Sans"/>
        </w:rPr>
        <w:t xml:space="preserve"> – 202</w:t>
      </w:r>
      <w:r>
        <w:rPr>
          <w:rFonts w:ascii="Public Sans" w:hAnsi="Public Sans"/>
        </w:rPr>
        <w:t>2</w:t>
      </w:r>
      <w:r w:rsidRPr="005576E4">
        <w:rPr>
          <w:rFonts w:ascii="Public Sans" w:hAnsi="Public Sans"/>
        </w:rPr>
        <w:t xml:space="preserve">. </w:t>
      </w:r>
    </w:p>
    <w:p w:rsidR="00E07B8F" w:rsidRDefault="00E07B8F" w:rsidP="00E07B8F">
      <w:pPr>
        <w:rPr>
          <w:rFonts w:ascii="Public Sans" w:hAnsi="Public Sans"/>
        </w:rPr>
      </w:pPr>
    </w:p>
    <w:p w:rsidR="00E07B8F" w:rsidRPr="005576E4" w:rsidRDefault="00E07B8F" w:rsidP="00E07B8F">
      <w:pPr>
        <w:rPr>
          <w:rFonts w:ascii="Public Sans" w:hAnsi="Public Sans"/>
        </w:rPr>
      </w:pPr>
      <w:r>
        <w:rPr>
          <w:rFonts w:ascii="Public Sans" w:eastAsia="Helvetica" w:hAnsi="Public Sans" w:cs="Segoe UI"/>
        </w:rPr>
        <w:t>Over the three-year period, there has been an increase in reports by friends (from 2% to 2.8%)</w:t>
      </w:r>
      <w:r w:rsidR="002F075B">
        <w:rPr>
          <w:rFonts w:ascii="Public Sans" w:eastAsia="Helvetica" w:hAnsi="Public Sans" w:cs="Segoe UI"/>
        </w:rPr>
        <w:t xml:space="preserve">. </w:t>
      </w:r>
      <w:r>
        <w:rPr>
          <w:rFonts w:ascii="Public Sans" w:eastAsia="Helvetica" w:hAnsi="Public Sans" w:cs="Segoe UI"/>
        </w:rPr>
        <w:t>There has been an increase in reports by a</w:t>
      </w:r>
      <w:r w:rsidRPr="005576E4">
        <w:rPr>
          <w:rFonts w:ascii="Public Sans" w:hAnsi="Public Sans"/>
        </w:rPr>
        <w:t>dults with disability (‘person experiencing abuse’)</w:t>
      </w:r>
      <w:r w:rsidR="008A7544">
        <w:rPr>
          <w:rFonts w:ascii="Public Sans" w:hAnsi="Public Sans"/>
        </w:rPr>
        <w:t xml:space="preserve">, from 11.3% (2020) to 13.9% (2022). Overall, 12.5% of reports about adults with disability in 2020 – 2022 were made by the adult themselves. </w:t>
      </w:r>
    </w:p>
    <w:p w:rsidR="00E07B8F" w:rsidRPr="006F791E" w:rsidRDefault="00E07B8F" w:rsidP="00E07B8F">
      <w:pPr>
        <w:rPr>
          <w:rFonts w:ascii="Public Sans" w:hAnsi="Public Sans"/>
          <w:sz w:val="20"/>
        </w:rPr>
      </w:pPr>
    </w:p>
    <w:p w:rsidR="007B760C" w:rsidRDefault="00E07B8F" w:rsidP="00E07B8F">
      <w:r w:rsidRPr="00B35455">
        <w:rPr>
          <w:rFonts w:ascii="Public Sans" w:eastAsia="Helvetica" w:hAnsi="Public Sans" w:cs="Segoe UI"/>
          <w:b/>
          <w:sz w:val="18"/>
        </w:rPr>
        <w:t xml:space="preserve">Figure </w:t>
      </w:r>
      <w:r w:rsidR="00A43CC0">
        <w:rPr>
          <w:rFonts w:ascii="Public Sans" w:eastAsia="Helvetica" w:hAnsi="Public Sans" w:cs="Segoe UI"/>
          <w:b/>
          <w:sz w:val="18"/>
        </w:rPr>
        <w:t>11</w:t>
      </w:r>
      <w:r w:rsidRPr="00B35455">
        <w:rPr>
          <w:rFonts w:ascii="Public Sans" w:eastAsia="Helvetica" w:hAnsi="Public Sans" w:cs="Segoe UI"/>
          <w:b/>
          <w:sz w:val="18"/>
        </w:rPr>
        <w:t xml:space="preserve">: Relationship of reporter to the adult with disability in reports to the ADC, </w:t>
      </w:r>
      <w:r w:rsidR="00C058C9">
        <w:rPr>
          <w:rFonts w:ascii="Public Sans" w:eastAsia="Helvetica" w:hAnsi="Public Sans" w:cs="Segoe UI"/>
          <w:b/>
          <w:sz w:val="18"/>
        </w:rPr>
        <w:t>2020</w:t>
      </w:r>
      <w:r>
        <w:rPr>
          <w:rFonts w:ascii="Public Sans" w:eastAsia="Helvetica" w:hAnsi="Public Sans" w:cs="Segoe UI"/>
          <w:b/>
          <w:sz w:val="18"/>
        </w:rPr>
        <w:t>-</w:t>
      </w:r>
      <w:r w:rsidRPr="00B35455">
        <w:rPr>
          <w:rFonts w:ascii="Public Sans" w:eastAsia="Helvetica" w:hAnsi="Public Sans" w:cs="Segoe UI"/>
          <w:b/>
          <w:sz w:val="18"/>
        </w:rPr>
        <w:t>2</w:t>
      </w:r>
      <w:r>
        <w:rPr>
          <w:rFonts w:ascii="Public Sans" w:eastAsia="Helvetica" w:hAnsi="Public Sans" w:cs="Segoe UI"/>
          <w:b/>
          <w:sz w:val="18"/>
        </w:rPr>
        <w:t>2</w:t>
      </w:r>
    </w:p>
    <w:p w:rsidR="00E94EF8" w:rsidRDefault="000829DC">
      <w:r>
        <w:rPr>
          <w:noProof/>
          <w:lang w:eastAsia="en-AU"/>
        </w:rPr>
        <w:drawing>
          <wp:inline distT="0" distB="0" distL="0" distR="0" wp14:anchorId="62A10AAA" wp14:editId="76EF1551">
            <wp:extent cx="5943600" cy="23526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E104B" w:rsidRDefault="009E104B" w:rsidP="009E104B">
      <w:pPr>
        <w:pStyle w:val="Heading1"/>
        <w:keepNext w:val="0"/>
        <w:keepLines w:val="0"/>
        <w:widowControl w:val="0"/>
        <w:spacing w:before="0" w:after="0"/>
        <w:rPr>
          <w:rFonts w:ascii="Public Sans" w:hAnsi="Public Sans" w:cs="Segoe UI"/>
          <w:color w:val="auto"/>
          <w:sz w:val="22"/>
        </w:rPr>
      </w:pPr>
    </w:p>
    <w:p w:rsidR="00B25BE9" w:rsidRPr="00B25BE9" w:rsidRDefault="00B25BE9" w:rsidP="00B25BE9"/>
    <w:p w:rsidR="00C058C9" w:rsidRPr="00B35455" w:rsidRDefault="00C058C9" w:rsidP="00C058C9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/>
        <w:ind w:left="426" w:hanging="426"/>
        <w:rPr>
          <w:rFonts w:ascii="Public Sans" w:hAnsi="Public Sans" w:cs="Segoe UI"/>
          <w:b/>
          <w:color w:val="auto"/>
        </w:rPr>
      </w:pPr>
      <w:r w:rsidRPr="00B35455">
        <w:rPr>
          <w:rFonts w:ascii="Public Sans" w:hAnsi="Public Sans" w:cs="Segoe UI"/>
          <w:b/>
          <w:color w:val="auto"/>
        </w:rPr>
        <w:t>Subjects of allegation</w:t>
      </w:r>
    </w:p>
    <w:p w:rsidR="00C058C9" w:rsidRPr="002B5A28" w:rsidRDefault="00C058C9" w:rsidP="00C058C9">
      <w:pPr>
        <w:pStyle w:val="Heading2"/>
        <w:rPr>
          <w:rFonts w:ascii="Public Sans" w:hAnsi="Public Sans"/>
          <w:b/>
          <w:color w:val="auto"/>
          <w:sz w:val="20"/>
        </w:rPr>
      </w:pPr>
    </w:p>
    <w:p w:rsidR="00C058C9" w:rsidRPr="00B35455" w:rsidRDefault="00C058C9" w:rsidP="00C058C9">
      <w:pPr>
        <w:pStyle w:val="Heading2"/>
        <w:spacing w:before="0"/>
        <w:rPr>
          <w:rFonts w:ascii="Public Sans" w:hAnsi="Public Sans"/>
          <w:b/>
          <w:color w:val="auto"/>
        </w:rPr>
      </w:pPr>
      <w:r w:rsidRPr="00B35455">
        <w:rPr>
          <w:rFonts w:ascii="Public Sans" w:hAnsi="Public Sans"/>
          <w:b/>
          <w:color w:val="auto"/>
        </w:rPr>
        <w:t>4.1 Relationship of the subject of allegation to the adult</w:t>
      </w:r>
    </w:p>
    <w:p w:rsidR="00C058C9" w:rsidRPr="002B5A28" w:rsidRDefault="00C058C9" w:rsidP="00C058C9">
      <w:pPr>
        <w:pStyle w:val="Heading3"/>
        <w:spacing w:before="0"/>
        <w:rPr>
          <w:rFonts w:ascii="Public Sans" w:eastAsia="Helvetica" w:hAnsi="Public Sans"/>
          <w:b/>
          <w:color w:val="auto"/>
          <w:sz w:val="20"/>
        </w:rPr>
      </w:pPr>
    </w:p>
    <w:p w:rsidR="00C058C9" w:rsidRPr="00B35455" w:rsidRDefault="00C058C9" w:rsidP="00C058C9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B35455">
        <w:rPr>
          <w:rFonts w:ascii="Public Sans" w:eastAsia="Helvetica" w:hAnsi="Public Sans"/>
          <w:b/>
          <w:color w:val="auto"/>
        </w:rPr>
        <w:t>Older people</w:t>
      </w:r>
    </w:p>
    <w:p w:rsidR="001C7AAC" w:rsidRDefault="00C058C9" w:rsidP="00C058C9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Just over h</w:t>
      </w:r>
      <w:r w:rsidRPr="005576E4">
        <w:rPr>
          <w:rFonts w:ascii="Public Sans" w:eastAsia="Helvetica" w:hAnsi="Public Sans" w:cs="Segoe UI"/>
        </w:rPr>
        <w:t>alf (5</w:t>
      </w:r>
      <w:r>
        <w:rPr>
          <w:rFonts w:ascii="Public Sans" w:eastAsia="Helvetica" w:hAnsi="Public Sans" w:cs="Segoe UI"/>
        </w:rPr>
        <w:t>2.9</w:t>
      </w:r>
      <w:r w:rsidRPr="005576E4">
        <w:rPr>
          <w:rFonts w:ascii="Public Sans" w:eastAsia="Helvetica" w:hAnsi="Public Sans" w:cs="Segoe UI"/>
        </w:rPr>
        <w:t xml:space="preserve">%) of the </w:t>
      </w:r>
      <w:r>
        <w:rPr>
          <w:rFonts w:ascii="Public Sans" w:eastAsia="Helvetica" w:hAnsi="Public Sans" w:cs="Segoe UI"/>
        </w:rPr>
        <w:t>8,462</w:t>
      </w:r>
      <w:r w:rsidRPr="005576E4">
        <w:rPr>
          <w:rFonts w:ascii="Public Sans" w:eastAsia="Helvetica" w:hAnsi="Public Sans" w:cs="Segoe UI"/>
        </w:rPr>
        <w:t xml:space="preserve"> reports to the ADC about older people in </w:t>
      </w:r>
      <w:r>
        <w:rPr>
          <w:rFonts w:ascii="Public Sans" w:eastAsia="Helvetica" w:hAnsi="Public Sans" w:cs="Segoe UI"/>
        </w:rPr>
        <w:t>2020 – 2022</w:t>
      </w:r>
      <w:r w:rsidRPr="005576E4">
        <w:rPr>
          <w:rFonts w:ascii="Public Sans" w:eastAsia="Helvetica" w:hAnsi="Public Sans" w:cs="Segoe UI"/>
        </w:rPr>
        <w:t xml:space="preserve"> </w:t>
      </w:r>
      <w:r w:rsidRPr="005576E4">
        <w:rPr>
          <w:rFonts w:ascii="Public Sans" w:eastAsia="Helvetica" w:hAnsi="Public Sans" w:cs="Segoe UI"/>
        </w:rPr>
        <w:lastRenderedPageBreak/>
        <w:t>pertained to the person’s adult children. All up, relatives</w:t>
      </w:r>
      <w:r>
        <w:rPr>
          <w:rStyle w:val="FootnoteReference"/>
          <w:rFonts w:ascii="Public Sans" w:eastAsia="Helvetica" w:hAnsi="Public Sans" w:cs="Segoe UI"/>
        </w:rPr>
        <w:footnoteReference w:id="3"/>
      </w:r>
      <w:r w:rsidRPr="005576E4">
        <w:rPr>
          <w:rFonts w:ascii="Public Sans" w:eastAsia="Helvetica" w:hAnsi="Public Sans" w:cs="Segoe UI"/>
        </w:rPr>
        <w:t xml:space="preserve"> were the subjects of allegation in </w:t>
      </w:r>
      <w:r w:rsidR="00501C15">
        <w:rPr>
          <w:rFonts w:ascii="Public Sans" w:eastAsia="Helvetica" w:hAnsi="Public Sans" w:cs="Segoe UI"/>
        </w:rPr>
        <w:t>62.1</w:t>
      </w:r>
      <w:r w:rsidRPr="005576E4">
        <w:rPr>
          <w:rFonts w:ascii="Public Sans" w:eastAsia="Helvetica" w:hAnsi="Public Sans" w:cs="Segoe UI"/>
        </w:rPr>
        <w:t>% of the reports about older people in th</w:t>
      </w:r>
      <w:r w:rsidR="00501C15">
        <w:rPr>
          <w:rFonts w:ascii="Public Sans" w:eastAsia="Helvetica" w:hAnsi="Public Sans" w:cs="Segoe UI"/>
        </w:rPr>
        <w:t>e three-year period</w:t>
      </w:r>
      <w:r w:rsidRPr="005576E4">
        <w:rPr>
          <w:rFonts w:ascii="Public Sans" w:eastAsia="Helvetica" w:hAnsi="Public Sans" w:cs="Segoe UI"/>
        </w:rPr>
        <w:t xml:space="preserve">. </w:t>
      </w:r>
    </w:p>
    <w:p w:rsidR="00C058C9" w:rsidRDefault="00C058C9" w:rsidP="001C7AAC">
      <w:pPr>
        <w:pStyle w:val="Body"/>
        <w:widowControl w:val="0"/>
        <w:spacing w:before="240"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>Allegations against a spouse or partner (or ex-spouse/ partner) featured in 1</w:t>
      </w:r>
      <w:r w:rsidR="00501C15">
        <w:rPr>
          <w:rFonts w:ascii="Public Sans" w:eastAsia="Helvetica" w:hAnsi="Public Sans" w:cs="Segoe UI"/>
        </w:rPr>
        <w:t>2.9</w:t>
      </w:r>
      <w:r w:rsidRPr="005576E4">
        <w:rPr>
          <w:rFonts w:ascii="Public Sans" w:eastAsia="Helvetica" w:hAnsi="Public Sans" w:cs="Segoe UI"/>
        </w:rPr>
        <w:t xml:space="preserve">% of the reports about older people. </w:t>
      </w:r>
    </w:p>
    <w:p w:rsidR="00501C15" w:rsidRPr="005576E4" w:rsidRDefault="00501C15" w:rsidP="00C058C9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:rsidR="009E5A08" w:rsidRDefault="00C058C9" w:rsidP="00501C15">
      <w:pPr>
        <w:pStyle w:val="Body"/>
        <w:widowControl w:val="0"/>
        <w:spacing w:after="0" w:line="240" w:lineRule="auto"/>
      </w:pPr>
      <w:r w:rsidRPr="008F3A10">
        <w:rPr>
          <w:rFonts w:ascii="Public Sans" w:eastAsia="Helvetica" w:hAnsi="Public Sans" w:cs="Segoe UI"/>
          <w:b/>
          <w:sz w:val="18"/>
        </w:rPr>
        <w:t>Figure 1</w:t>
      </w:r>
      <w:r w:rsidR="00A43CC0">
        <w:rPr>
          <w:rFonts w:ascii="Public Sans" w:eastAsia="Helvetica" w:hAnsi="Public Sans" w:cs="Segoe UI"/>
          <w:b/>
          <w:sz w:val="18"/>
        </w:rPr>
        <w:t>2</w:t>
      </w:r>
      <w:r w:rsidRPr="008F3A10">
        <w:rPr>
          <w:rFonts w:ascii="Public Sans" w:eastAsia="Helvetica" w:hAnsi="Public Sans" w:cs="Segoe UI"/>
          <w:b/>
          <w:sz w:val="18"/>
        </w:rPr>
        <w:t xml:space="preserve">: Relationship of the subject of allegation to the older person in reports to the ADC, </w:t>
      </w:r>
      <w:r>
        <w:rPr>
          <w:rFonts w:ascii="Public Sans" w:eastAsia="Helvetica" w:hAnsi="Public Sans" w:cs="Segoe UI"/>
          <w:b/>
          <w:sz w:val="18"/>
        </w:rPr>
        <w:t>2020-</w:t>
      </w:r>
      <w:r w:rsidRPr="008F3A10">
        <w:rPr>
          <w:rFonts w:ascii="Public Sans" w:eastAsia="Helvetica" w:hAnsi="Public Sans" w:cs="Segoe UI"/>
          <w:b/>
          <w:sz w:val="18"/>
        </w:rPr>
        <w:t>2</w:t>
      </w:r>
      <w:r>
        <w:rPr>
          <w:rFonts w:ascii="Public Sans" w:eastAsia="Helvetica" w:hAnsi="Public Sans" w:cs="Segoe UI"/>
          <w:b/>
          <w:sz w:val="18"/>
        </w:rPr>
        <w:t>2</w:t>
      </w:r>
    </w:p>
    <w:p w:rsidR="00444A61" w:rsidRDefault="00444A61">
      <w:r>
        <w:rPr>
          <w:noProof/>
          <w:lang w:eastAsia="en-AU"/>
        </w:rPr>
        <w:drawing>
          <wp:inline distT="0" distB="0" distL="0" distR="0" wp14:anchorId="7B911BD5" wp14:editId="708FB3BC">
            <wp:extent cx="5838825" cy="2590800"/>
            <wp:effectExtent l="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44A61" w:rsidRDefault="00444A61"/>
    <w:p w:rsidR="00B25BE9" w:rsidRDefault="00B25BE9">
      <w:pPr>
        <w:rPr>
          <w:rFonts w:ascii="Public Sans" w:hAnsi="Public Sans"/>
        </w:rPr>
      </w:pPr>
    </w:p>
    <w:p w:rsidR="00A43CC0" w:rsidRPr="00FE4A69" w:rsidRDefault="00A43CC0" w:rsidP="00A43CC0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FE4A69">
        <w:rPr>
          <w:rFonts w:ascii="Public Sans" w:eastAsia="Helvetica" w:hAnsi="Public Sans"/>
          <w:b/>
          <w:color w:val="auto"/>
        </w:rPr>
        <w:t>Adults with disability</w:t>
      </w:r>
    </w:p>
    <w:p w:rsidR="001C7AAC" w:rsidRDefault="00A43CC0" w:rsidP="00A43CC0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 xml:space="preserve">In </w:t>
      </w:r>
      <w:r w:rsidR="002B5A28">
        <w:rPr>
          <w:rFonts w:ascii="Public Sans" w:eastAsia="Helvetica" w:hAnsi="Public Sans" w:cs="Segoe UI"/>
        </w:rPr>
        <w:t>29.3</w:t>
      </w:r>
      <w:r w:rsidRPr="005576E4">
        <w:rPr>
          <w:rFonts w:ascii="Public Sans" w:eastAsia="Helvetica" w:hAnsi="Public Sans" w:cs="Segoe UI"/>
        </w:rPr>
        <w:t xml:space="preserve">% of the </w:t>
      </w:r>
      <w:r w:rsidR="00F3604E">
        <w:rPr>
          <w:rFonts w:ascii="Public Sans" w:eastAsia="Helvetica" w:hAnsi="Public Sans" w:cs="Segoe UI"/>
        </w:rPr>
        <w:t>2,501</w:t>
      </w:r>
      <w:r>
        <w:rPr>
          <w:rFonts w:ascii="Public Sans" w:eastAsia="Helvetica" w:hAnsi="Public Sans" w:cs="Segoe UI"/>
        </w:rPr>
        <w:t xml:space="preserve"> </w:t>
      </w:r>
      <w:r w:rsidRPr="005576E4">
        <w:rPr>
          <w:rFonts w:ascii="Public Sans" w:eastAsia="Helvetica" w:hAnsi="Public Sans" w:cs="Segoe UI"/>
        </w:rPr>
        <w:t xml:space="preserve">reports to the ADC about adults with disability in </w:t>
      </w:r>
      <w:r w:rsidR="00F3604E">
        <w:rPr>
          <w:rFonts w:ascii="Public Sans" w:eastAsia="Helvetica" w:hAnsi="Public Sans" w:cs="Segoe UI"/>
        </w:rPr>
        <w:t>2020 – 2022</w:t>
      </w:r>
      <w:r w:rsidRPr="005576E4">
        <w:rPr>
          <w:rFonts w:ascii="Public Sans" w:eastAsia="Helvetica" w:hAnsi="Public Sans" w:cs="Segoe UI"/>
        </w:rPr>
        <w:t>, the allegations pertained to the adult’s parent(s). All up, relatives</w:t>
      </w:r>
      <w:r>
        <w:rPr>
          <w:rStyle w:val="FootnoteReference"/>
          <w:rFonts w:ascii="Public Sans" w:eastAsia="Helvetica" w:hAnsi="Public Sans" w:cs="Segoe UI"/>
        </w:rPr>
        <w:footnoteReference w:id="4"/>
      </w:r>
      <w:r w:rsidRPr="005576E4">
        <w:rPr>
          <w:rFonts w:ascii="Public Sans" w:eastAsia="Helvetica" w:hAnsi="Public Sans" w:cs="Segoe UI"/>
        </w:rPr>
        <w:t xml:space="preserve"> were the subjects of allegation in </w:t>
      </w:r>
      <w:r w:rsidR="00BB6EE1">
        <w:rPr>
          <w:rFonts w:ascii="Public Sans" w:eastAsia="Helvetica" w:hAnsi="Public Sans" w:cs="Segoe UI"/>
        </w:rPr>
        <w:t>half (50.1</w:t>
      </w:r>
      <w:r w:rsidRPr="005576E4">
        <w:rPr>
          <w:rFonts w:ascii="Public Sans" w:eastAsia="Helvetica" w:hAnsi="Public Sans" w:cs="Segoe UI"/>
        </w:rPr>
        <w:t>%</w:t>
      </w:r>
      <w:r w:rsidR="00BB6EE1">
        <w:rPr>
          <w:rFonts w:ascii="Public Sans" w:eastAsia="Helvetica" w:hAnsi="Public Sans" w:cs="Segoe UI"/>
        </w:rPr>
        <w:t>)</w:t>
      </w:r>
      <w:r w:rsidRPr="005576E4">
        <w:rPr>
          <w:rFonts w:ascii="Public Sans" w:eastAsia="Helvetica" w:hAnsi="Public Sans" w:cs="Segoe UI"/>
        </w:rPr>
        <w:t xml:space="preserve"> of the reports about adults with disability</w:t>
      </w:r>
      <w:r>
        <w:rPr>
          <w:rFonts w:ascii="Public Sans" w:eastAsia="Helvetica" w:hAnsi="Public Sans" w:cs="Segoe UI"/>
        </w:rPr>
        <w:t xml:space="preserve"> </w:t>
      </w:r>
      <w:r w:rsidRPr="005576E4">
        <w:rPr>
          <w:rFonts w:ascii="Public Sans" w:eastAsia="Helvetica" w:hAnsi="Public Sans" w:cs="Segoe UI"/>
        </w:rPr>
        <w:t>in th</w:t>
      </w:r>
      <w:r w:rsidR="00BB6EE1">
        <w:rPr>
          <w:rFonts w:ascii="Public Sans" w:eastAsia="Helvetica" w:hAnsi="Public Sans" w:cs="Segoe UI"/>
        </w:rPr>
        <w:t>e three-year period</w:t>
      </w:r>
      <w:r w:rsidRPr="005576E4">
        <w:rPr>
          <w:rFonts w:ascii="Public Sans" w:eastAsia="Helvetica" w:hAnsi="Public Sans" w:cs="Segoe UI"/>
        </w:rPr>
        <w:t xml:space="preserve">. </w:t>
      </w:r>
    </w:p>
    <w:p w:rsidR="00A43CC0" w:rsidRDefault="00A43CC0" w:rsidP="001C7AAC">
      <w:pPr>
        <w:pStyle w:val="Body"/>
        <w:widowControl w:val="0"/>
        <w:spacing w:before="240"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In </w:t>
      </w:r>
      <w:r>
        <w:rPr>
          <w:rFonts w:ascii="Public Sans" w:eastAsia="Helvetica" w:hAnsi="Public Sans" w:cs="Segoe UI"/>
        </w:rPr>
        <w:t>1</w:t>
      </w:r>
      <w:r w:rsidR="00BB6EE1">
        <w:rPr>
          <w:rFonts w:ascii="Public Sans" w:eastAsia="Helvetica" w:hAnsi="Public Sans" w:cs="Segoe UI"/>
        </w:rPr>
        <w:t>2.</w:t>
      </w:r>
      <w:r>
        <w:rPr>
          <w:rFonts w:ascii="Public Sans" w:eastAsia="Helvetica" w:hAnsi="Public Sans" w:cs="Segoe UI"/>
        </w:rPr>
        <w:t>1</w:t>
      </w:r>
      <w:r w:rsidRPr="005576E4">
        <w:rPr>
          <w:rFonts w:ascii="Public Sans" w:eastAsia="Helvetica" w:hAnsi="Public Sans" w:cs="Segoe UI"/>
        </w:rPr>
        <w:t xml:space="preserve">% of matters, the adult’s spouse or partner (or ex-spouse/partner) was the subject of the allegations. </w:t>
      </w:r>
    </w:p>
    <w:p w:rsidR="00A43CC0" w:rsidRPr="005576E4" w:rsidRDefault="00A43CC0" w:rsidP="00A43CC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:rsidR="00444A61" w:rsidRDefault="00A43CC0" w:rsidP="00BB6EE1">
      <w:pPr>
        <w:pStyle w:val="Body"/>
        <w:widowControl w:val="0"/>
        <w:spacing w:after="0" w:line="240" w:lineRule="auto"/>
      </w:pPr>
      <w:r w:rsidRPr="00D51AA9">
        <w:rPr>
          <w:rFonts w:ascii="Public Sans" w:eastAsia="Helvetica" w:hAnsi="Public Sans" w:cs="Segoe UI"/>
          <w:b/>
          <w:sz w:val="18"/>
        </w:rPr>
        <w:t>Figure 1</w:t>
      </w:r>
      <w:r w:rsidR="00BB6EE1">
        <w:rPr>
          <w:rFonts w:ascii="Public Sans" w:eastAsia="Helvetica" w:hAnsi="Public Sans" w:cs="Segoe UI"/>
          <w:b/>
          <w:sz w:val="18"/>
        </w:rPr>
        <w:t>3</w:t>
      </w:r>
      <w:r w:rsidRPr="00D51AA9">
        <w:rPr>
          <w:rFonts w:ascii="Public Sans" w:eastAsia="Helvetica" w:hAnsi="Public Sans" w:cs="Segoe UI"/>
          <w:b/>
          <w:sz w:val="18"/>
        </w:rPr>
        <w:t>: Relationship of the subject of allegation to the adult with disability in reports to the ADC,</w:t>
      </w:r>
      <w:r>
        <w:rPr>
          <w:rFonts w:ascii="Public Sans" w:eastAsia="Helvetica" w:hAnsi="Public Sans" w:cs="Segoe UI"/>
          <w:b/>
          <w:sz w:val="18"/>
        </w:rPr>
        <w:t xml:space="preserve"> </w:t>
      </w:r>
      <w:r w:rsidR="00BB6EE1">
        <w:rPr>
          <w:rFonts w:ascii="Public Sans" w:eastAsia="Helvetica" w:hAnsi="Public Sans" w:cs="Segoe UI"/>
          <w:b/>
          <w:sz w:val="18"/>
        </w:rPr>
        <w:t>2020-22</w:t>
      </w:r>
    </w:p>
    <w:p w:rsidR="00444A61" w:rsidRDefault="00444A61">
      <w:r>
        <w:rPr>
          <w:noProof/>
          <w:lang w:eastAsia="en-AU"/>
        </w:rPr>
        <w:drawing>
          <wp:inline distT="0" distB="0" distL="0" distR="0" wp14:anchorId="654B251A" wp14:editId="0B288310">
            <wp:extent cx="5838825" cy="2600325"/>
            <wp:effectExtent l="0" t="0" r="9525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0717" w:rsidRDefault="00D50717"/>
    <w:p w:rsidR="00D50717" w:rsidRPr="007E0AEF" w:rsidRDefault="00D50717">
      <w:pPr>
        <w:rPr>
          <w:sz w:val="20"/>
        </w:rPr>
      </w:pPr>
    </w:p>
    <w:p w:rsidR="00A115F0" w:rsidRDefault="00A115F0" w:rsidP="00A115F0">
      <w:pPr>
        <w:rPr>
          <w:rFonts w:ascii="Public Sans" w:hAnsi="Public Sans"/>
          <w:sz w:val="20"/>
        </w:rPr>
      </w:pPr>
    </w:p>
    <w:p w:rsidR="00B25BE9" w:rsidRPr="00E550C7" w:rsidRDefault="00B25BE9" w:rsidP="00A115F0">
      <w:pPr>
        <w:rPr>
          <w:rFonts w:ascii="Public Sans" w:hAnsi="Public Sans"/>
          <w:sz w:val="20"/>
        </w:rPr>
      </w:pPr>
    </w:p>
    <w:p w:rsidR="00A115F0" w:rsidRPr="00771917" w:rsidRDefault="00A115F0" w:rsidP="00A115F0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/>
        <w:ind w:left="426" w:hanging="426"/>
        <w:rPr>
          <w:rFonts w:ascii="Public Sans" w:hAnsi="Public Sans" w:cs="Segoe UI"/>
          <w:b/>
          <w:color w:val="auto"/>
        </w:rPr>
      </w:pPr>
      <w:r w:rsidRPr="00771917">
        <w:rPr>
          <w:rFonts w:ascii="Public Sans" w:hAnsi="Public Sans" w:cs="Segoe UI"/>
          <w:b/>
          <w:color w:val="auto"/>
        </w:rPr>
        <w:t>Type of alleged abuse</w:t>
      </w:r>
    </w:p>
    <w:p w:rsidR="00A115F0" w:rsidRPr="00771917" w:rsidRDefault="00A115F0" w:rsidP="00A115F0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  <w:color w:val="auto"/>
        </w:rPr>
      </w:pPr>
      <w:r w:rsidRPr="00771917">
        <w:rPr>
          <w:rFonts w:ascii="Public Sans" w:eastAsia="Helvetica" w:hAnsi="Public Sans" w:cs="Segoe UI"/>
          <w:color w:val="auto"/>
        </w:rPr>
        <w:t xml:space="preserve">Most reports to the ADC involve more than one type of abuse. </w:t>
      </w:r>
    </w:p>
    <w:p w:rsidR="00A115F0" w:rsidRPr="00E550C7" w:rsidRDefault="00A115F0" w:rsidP="00A115F0">
      <w:pPr>
        <w:rPr>
          <w:rFonts w:ascii="Public Sans" w:hAnsi="Public Sans"/>
          <w:sz w:val="20"/>
        </w:rPr>
      </w:pPr>
    </w:p>
    <w:p w:rsidR="00A115F0" w:rsidRPr="00771917" w:rsidRDefault="00A115F0" w:rsidP="00A115F0">
      <w:pPr>
        <w:pStyle w:val="Heading3"/>
        <w:spacing w:before="0"/>
        <w:rPr>
          <w:rFonts w:ascii="Public Sans" w:eastAsia="Helvetica" w:hAnsi="Public Sans"/>
          <w:b/>
          <w:color w:val="auto"/>
        </w:rPr>
      </w:pPr>
      <w:r w:rsidRPr="00771917">
        <w:rPr>
          <w:rFonts w:ascii="Public Sans" w:eastAsia="Helvetica" w:hAnsi="Public Sans"/>
          <w:b/>
          <w:color w:val="auto"/>
        </w:rPr>
        <w:t>Older people</w:t>
      </w:r>
    </w:p>
    <w:p w:rsidR="00A115F0" w:rsidRPr="005576E4" w:rsidRDefault="007E0AEF" w:rsidP="00A115F0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>
        <w:rPr>
          <w:rFonts w:ascii="Public Sans" w:eastAsia="Helvetica" w:hAnsi="Public Sans" w:cs="Segoe UI"/>
        </w:rPr>
        <w:t>T</w:t>
      </w:r>
      <w:r w:rsidR="00A115F0" w:rsidRPr="005576E4">
        <w:rPr>
          <w:rFonts w:ascii="Public Sans" w:eastAsia="Helvetica" w:hAnsi="Public Sans" w:cs="Segoe UI"/>
        </w:rPr>
        <w:t xml:space="preserve">he most commonly reported types of alleged abuse in relation to older people in </w:t>
      </w:r>
      <w:r>
        <w:rPr>
          <w:rFonts w:ascii="Public Sans" w:eastAsia="Helvetica" w:hAnsi="Public Sans" w:cs="Segoe UI"/>
        </w:rPr>
        <w:t xml:space="preserve">2020 </w:t>
      </w:r>
      <w:r w:rsidR="00A115F0" w:rsidRPr="005576E4">
        <w:rPr>
          <w:rFonts w:ascii="Public Sans" w:eastAsia="Helvetica" w:hAnsi="Public Sans" w:cs="Segoe UI"/>
        </w:rPr>
        <w:t>– 202</w:t>
      </w:r>
      <w:r w:rsidR="00A115F0">
        <w:rPr>
          <w:rFonts w:ascii="Public Sans" w:eastAsia="Helvetica" w:hAnsi="Public Sans" w:cs="Segoe UI"/>
        </w:rPr>
        <w:t>2</w:t>
      </w:r>
      <w:r w:rsidR="00A115F0" w:rsidRPr="005576E4">
        <w:rPr>
          <w:rFonts w:ascii="Public Sans" w:eastAsia="Helvetica" w:hAnsi="Public Sans" w:cs="Segoe UI"/>
        </w:rPr>
        <w:t xml:space="preserve"> were psychological abuse and </w:t>
      </w:r>
      <w:r w:rsidR="00A115F0">
        <w:rPr>
          <w:rFonts w:ascii="Public Sans" w:eastAsia="Helvetica" w:hAnsi="Public Sans" w:cs="Segoe UI"/>
        </w:rPr>
        <w:t>financial abuse</w:t>
      </w:r>
      <w:r w:rsidR="00A115F0" w:rsidRPr="005576E4">
        <w:rPr>
          <w:rFonts w:ascii="Public Sans" w:eastAsia="Helvetica" w:hAnsi="Public Sans" w:cs="Segoe UI"/>
        </w:rPr>
        <w:t xml:space="preserve">. </w:t>
      </w:r>
    </w:p>
    <w:p w:rsidR="00A115F0" w:rsidRPr="005576E4" w:rsidRDefault="00A115F0" w:rsidP="00A115F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:rsidR="00A115F0" w:rsidRDefault="00A115F0" w:rsidP="00A115F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0E2FD4">
        <w:rPr>
          <w:rFonts w:ascii="Public Sans" w:eastAsia="Helvetica" w:hAnsi="Public Sans" w:cs="Segoe UI"/>
          <w:b/>
          <w:sz w:val="18"/>
        </w:rPr>
        <w:t>Figure 1</w:t>
      </w:r>
      <w:r w:rsidR="000374DC">
        <w:rPr>
          <w:rFonts w:ascii="Public Sans" w:eastAsia="Helvetica" w:hAnsi="Public Sans" w:cs="Segoe UI"/>
          <w:b/>
          <w:sz w:val="18"/>
        </w:rPr>
        <w:t>4</w:t>
      </w:r>
      <w:r w:rsidRPr="000E2FD4">
        <w:rPr>
          <w:rFonts w:ascii="Public Sans" w:eastAsia="Helvetica" w:hAnsi="Public Sans" w:cs="Segoe UI"/>
          <w:b/>
          <w:sz w:val="18"/>
        </w:rPr>
        <w:t xml:space="preserve">: Number of allegations in reports to the ADC about older people, by abuse type, </w:t>
      </w:r>
      <w:r>
        <w:rPr>
          <w:rFonts w:ascii="Public Sans" w:eastAsia="Helvetica" w:hAnsi="Public Sans" w:cs="Segoe UI"/>
          <w:b/>
          <w:sz w:val="18"/>
        </w:rPr>
        <w:t>2020-</w:t>
      </w:r>
      <w:r w:rsidRPr="000E2FD4">
        <w:rPr>
          <w:rFonts w:ascii="Public Sans" w:eastAsia="Helvetica" w:hAnsi="Public Sans" w:cs="Segoe UI"/>
          <w:b/>
          <w:sz w:val="18"/>
        </w:rPr>
        <w:t>2</w:t>
      </w:r>
      <w:r>
        <w:rPr>
          <w:rFonts w:ascii="Public Sans" w:eastAsia="Helvetica" w:hAnsi="Public Sans" w:cs="Segoe UI"/>
          <w:b/>
          <w:sz w:val="18"/>
        </w:rPr>
        <w:t>2</w:t>
      </w:r>
    </w:p>
    <w:p w:rsidR="000A4674" w:rsidRDefault="00D51316">
      <w:r>
        <w:rPr>
          <w:noProof/>
          <w:lang w:eastAsia="en-AU"/>
        </w:rPr>
        <w:drawing>
          <wp:inline distT="0" distB="0" distL="0" distR="0" wp14:anchorId="6CB9D31F" wp14:editId="0A4327F3">
            <wp:extent cx="5695950" cy="12763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A4674" w:rsidRDefault="000A4674"/>
    <w:p w:rsidR="00A115F0" w:rsidRPr="00AC1BF2" w:rsidRDefault="00A115F0" w:rsidP="00A115F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AC1BF2">
        <w:rPr>
          <w:rFonts w:ascii="Public Sans" w:eastAsia="Helvetica" w:hAnsi="Public Sans" w:cs="Segoe UI"/>
          <w:b/>
          <w:sz w:val="18"/>
        </w:rPr>
        <w:t xml:space="preserve">Table </w:t>
      </w:r>
      <w:r w:rsidR="009849B4">
        <w:rPr>
          <w:rFonts w:ascii="Public Sans" w:eastAsia="Helvetica" w:hAnsi="Public Sans" w:cs="Segoe UI"/>
          <w:b/>
          <w:sz w:val="18"/>
        </w:rPr>
        <w:t>9</w:t>
      </w:r>
      <w:r w:rsidRPr="00AC1BF2">
        <w:rPr>
          <w:rFonts w:ascii="Public Sans" w:eastAsia="Helvetica" w:hAnsi="Public Sans" w:cs="Segoe UI"/>
          <w:b/>
          <w:sz w:val="18"/>
        </w:rPr>
        <w:t xml:space="preserve">: Type of alleged abuse of the older person in reports to the ADC, </w:t>
      </w:r>
      <w:r>
        <w:rPr>
          <w:rFonts w:ascii="Public Sans" w:eastAsia="Helvetica" w:hAnsi="Public Sans" w:cs="Segoe UI"/>
          <w:b/>
          <w:sz w:val="18"/>
        </w:rPr>
        <w:t>2020-</w:t>
      </w:r>
      <w:r w:rsidRPr="00AC1BF2">
        <w:rPr>
          <w:rFonts w:ascii="Public Sans" w:eastAsia="Helvetica" w:hAnsi="Public Sans" w:cs="Segoe UI"/>
          <w:b/>
          <w:sz w:val="18"/>
        </w:rPr>
        <w:t>2</w:t>
      </w:r>
      <w:r>
        <w:rPr>
          <w:rFonts w:ascii="Public Sans" w:eastAsia="Helvetica" w:hAnsi="Public Sans" w:cs="Segoe UI"/>
          <w:b/>
          <w:sz w:val="18"/>
        </w:rPr>
        <w:t>2</w:t>
      </w:r>
      <w:r w:rsidRPr="00AC1BF2">
        <w:rPr>
          <w:rStyle w:val="FootnoteReference"/>
          <w:rFonts w:ascii="Public Sans" w:eastAsia="Helvetica" w:hAnsi="Public Sans" w:cs="Segoe UI"/>
          <w:b/>
          <w:sz w:val="18"/>
        </w:rPr>
        <w:footnoteReference w:id="5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638"/>
      </w:tblGrid>
      <w:tr w:rsidR="00A115F0" w:rsidRPr="005576E4" w:rsidTr="004D5EAC">
        <w:tc>
          <w:tcPr>
            <w:tcW w:w="6232" w:type="dxa"/>
            <w:shd w:val="clear" w:color="auto" w:fill="A5CCDF"/>
          </w:tcPr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Type of alleged abuse</w:t>
            </w:r>
          </w:p>
        </w:tc>
        <w:tc>
          <w:tcPr>
            <w:tcW w:w="1418" w:type="dxa"/>
            <w:shd w:val="clear" w:color="auto" w:fill="A5CCDF"/>
          </w:tcPr>
          <w:p w:rsidR="00A115F0" w:rsidRPr="005576E4" w:rsidRDefault="00A115F0" w:rsidP="00A115F0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Number of allegations</w:t>
            </w:r>
          </w:p>
        </w:tc>
        <w:tc>
          <w:tcPr>
            <w:tcW w:w="1638" w:type="dxa"/>
            <w:shd w:val="clear" w:color="auto" w:fill="A5CCDF"/>
          </w:tcPr>
          <w:p w:rsidR="00A115F0" w:rsidRPr="005576E4" w:rsidRDefault="00A115F0" w:rsidP="00A115F0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% of all allegations</w:t>
            </w:r>
            <w:r w:rsidR="004D5EAC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 xml:space="preserve"> about older people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 xml:space="preserve">Psychological abuse </w:t>
            </w:r>
          </w:p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A115F0" w:rsidRPr="005576E4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(Mainly verbal abuse; and preventing or restricting access to family/others)</w:t>
            </w:r>
          </w:p>
        </w:tc>
        <w:tc>
          <w:tcPr>
            <w:tcW w:w="1418" w:type="dxa"/>
          </w:tcPr>
          <w:p w:rsidR="00A115F0" w:rsidRPr="005576E4" w:rsidRDefault="00D51316" w:rsidP="00D51316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5</w:t>
            </w:r>
            <w:r w:rsidR="00A115F0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,</w:t>
            </w: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132</w:t>
            </w:r>
          </w:p>
        </w:tc>
        <w:tc>
          <w:tcPr>
            <w:tcW w:w="1638" w:type="dxa"/>
          </w:tcPr>
          <w:p w:rsidR="00A115F0" w:rsidRPr="005576E4" w:rsidRDefault="00D51316" w:rsidP="00A115F0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40.2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Financial abuse</w:t>
            </w:r>
          </w:p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A115F0" w:rsidRPr="005576E4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Mainly financial exploitation; misuse of Power of Attorney/ Enduring POA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; and theft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418" w:type="dxa"/>
          </w:tcPr>
          <w:p w:rsidR="00A115F0" w:rsidRPr="005576E4" w:rsidRDefault="00A115F0" w:rsidP="00D51316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3,</w:t>
            </w:r>
            <w:r w:rsidR="00D5131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561</w:t>
            </w:r>
          </w:p>
        </w:tc>
        <w:tc>
          <w:tcPr>
            <w:tcW w:w="1638" w:type="dxa"/>
          </w:tcPr>
          <w:p w:rsidR="00A115F0" w:rsidRPr="005576E4" w:rsidRDefault="00D51316" w:rsidP="00A115F0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27.9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Neglect</w:t>
            </w:r>
          </w:p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A115F0" w:rsidRPr="005576E4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(Mainly failure to meet the person’s support needs; and medical neglect)</w:t>
            </w:r>
          </w:p>
        </w:tc>
        <w:tc>
          <w:tcPr>
            <w:tcW w:w="1418" w:type="dxa"/>
          </w:tcPr>
          <w:p w:rsidR="00A115F0" w:rsidRPr="005576E4" w:rsidRDefault="00A115F0" w:rsidP="00D51316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2,</w:t>
            </w:r>
            <w:r w:rsidR="00D5131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682</w:t>
            </w:r>
          </w:p>
        </w:tc>
        <w:tc>
          <w:tcPr>
            <w:tcW w:w="1638" w:type="dxa"/>
          </w:tcPr>
          <w:p w:rsidR="00A115F0" w:rsidRPr="005576E4" w:rsidRDefault="00D51316" w:rsidP="00A115F0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21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Physical abuse</w:t>
            </w:r>
          </w:p>
          <w:p w:rsidR="00A115F0" w:rsidRPr="005576E4" w:rsidRDefault="00A115F0" w:rsidP="00A115F0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A115F0" w:rsidRPr="005576E4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(Mainly hitting/kicking/punching; pushing/shoving/grabbing/ shaking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; and threat of harm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418" w:type="dxa"/>
          </w:tcPr>
          <w:p w:rsidR="00A115F0" w:rsidRPr="005576E4" w:rsidRDefault="00D51316" w:rsidP="00A115F0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1,049</w:t>
            </w:r>
          </w:p>
        </w:tc>
        <w:tc>
          <w:tcPr>
            <w:tcW w:w="1638" w:type="dxa"/>
          </w:tcPr>
          <w:p w:rsidR="00A115F0" w:rsidRPr="005576E4" w:rsidRDefault="00A115F0" w:rsidP="00D51316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8.</w:t>
            </w:r>
            <w:r w:rsidR="00D5131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B142B8" w:rsidRDefault="00A115F0" w:rsidP="00A115F0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B142B8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Sexual abuse</w:t>
            </w:r>
          </w:p>
          <w:p w:rsidR="00A115F0" w:rsidRPr="00B142B8" w:rsidRDefault="00A115F0" w:rsidP="00A115F0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A115F0" w:rsidRPr="00B142B8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142B8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sexual </w:t>
            </w:r>
            <w:r w:rsidR="00B142B8" w:rsidRPr="00B142B8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assault; and sexual </w:t>
            </w:r>
            <w:r w:rsidRPr="00B142B8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touching)</w:t>
            </w:r>
          </w:p>
        </w:tc>
        <w:tc>
          <w:tcPr>
            <w:tcW w:w="1418" w:type="dxa"/>
          </w:tcPr>
          <w:p w:rsidR="00A115F0" w:rsidRPr="005576E4" w:rsidRDefault="00D51316" w:rsidP="00A115F0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81</w:t>
            </w:r>
          </w:p>
        </w:tc>
        <w:tc>
          <w:tcPr>
            <w:tcW w:w="1638" w:type="dxa"/>
          </w:tcPr>
          <w:p w:rsidR="00A115F0" w:rsidRPr="005576E4" w:rsidRDefault="000133F6" w:rsidP="00D51316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0.</w:t>
            </w:r>
            <w:r w:rsidR="00D5131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6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5576E4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Other</w:t>
            </w:r>
          </w:p>
        </w:tc>
        <w:tc>
          <w:tcPr>
            <w:tcW w:w="1418" w:type="dxa"/>
          </w:tcPr>
          <w:p w:rsidR="00A115F0" w:rsidRPr="005576E4" w:rsidRDefault="000133F6" w:rsidP="00A115F0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265</w:t>
            </w:r>
          </w:p>
        </w:tc>
        <w:tc>
          <w:tcPr>
            <w:tcW w:w="1638" w:type="dxa"/>
          </w:tcPr>
          <w:p w:rsidR="00A115F0" w:rsidRPr="005576E4" w:rsidRDefault="000133F6" w:rsidP="00D51316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2.</w:t>
            </w:r>
            <w:r w:rsidR="00D51316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</w:t>
            </w:r>
          </w:p>
        </w:tc>
      </w:tr>
      <w:tr w:rsidR="00A115F0" w:rsidRPr="005576E4" w:rsidTr="004D5EAC">
        <w:tc>
          <w:tcPr>
            <w:tcW w:w="6232" w:type="dxa"/>
          </w:tcPr>
          <w:p w:rsidR="00A115F0" w:rsidRPr="005576E4" w:rsidRDefault="00A115F0" w:rsidP="00370A47">
            <w:pPr>
              <w:widowControl w:val="0"/>
              <w:spacing w:after="6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Total allegations in reports about older people</w:t>
            </w:r>
          </w:p>
        </w:tc>
        <w:tc>
          <w:tcPr>
            <w:tcW w:w="1418" w:type="dxa"/>
          </w:tcPr>
          <w:p w:rsidR="00A115F0" w:rsidRPr="005576E4" w:rsidRDefault="00D51316" w:rsidP="00A115F0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12,770</w:t>
            </w:r>
          </w:p>
        </w:tc>
        <w:tc>
          <w:tcPr>
            <w:tcW w:w="1638" w:type="dxa"/>
          </w:tcPr>
          <w:p w:rsidR="00A115F0" w:rsidRPr="005576E4" w:rsidRDefault="00A115F0" w:rsidP="00A115F0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100</w:t>
            </w:r>
          </w:p>
        </w:tc>
      </w:tr>
    </w:tbl>
    <w:p w:rsidR="00A115F0" w:rsidRPr="005576E4" w:rsidRDefault="00A115F0" w:rsidP="00A115F0">
      <w:pPr>
        <w:rPr>
          <w:rFonts w:ascii="Public Sans" w:hAnsi="Public Sans" w:cs="Segoe UI"/>
        </w:rPr>
      </w:pPr>
    </w:p>
    <w:p w:rsidR="000B14CF" w:rsidRDefault="000B14CF" w:rsidP="000B14CF">
      <w:pPr>
        <w:spacing w:before="120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The most common allegations reported in relation to older people related them being subject to verbal </w:t>
      </w:r>
      <w:r>
        <w:rPr>
          <w:rFonts w:ascii="Public Sans" w:hAnsi="Public Sans" w:cs="Segoe UI"/>
        </w:rPr>
        <w:t xml:space="preserve">or other psychological </w:t>
      </w:r>
      <w:r w:rsidRPr="005576E4">
        <w:rPr>
          <w:rFonts w:ascii="Public Sans" w:hAnsi="Public Sans" w:cs="Segoe UI"/>
        </w:rPr>
        <w:t>abuse; not having their support needs met;</w:t>
      </w:r>
      <w:r>
        <w:rPr>
          <w:rFonts w:ascii="Public Sans" w:hAnsi="Public Sans" w:cs="Segoe UI"/>
        </w:rPr>
        <w:t xml:space="preserve"> </w:t>
      </w:r>
      <w:r w:rsidRPr="005576E4">
        <w:rPr>
          <w:rFonts w:ascii="Public Sans" w:hAnsi="Public Sans" w:cs="Segoe UI"/>
        </w:rPr>
        <w:t>being financial</w:t>
      </w:r>
      <w:r>
        <w:rPr>
          <w:rFonts w:ascii="Public Sans" w:hAnsi="Public Sans" w:cs="Segoe UI"/>
        </w:rPr>
        <w:t>ly</w:t>
      </w:r>
      <w:r w:rsidRPr="005576E4">
        <w:rPr>
          <w:rFonts w:ascii="Public Sans" w:hAnsi="Public Sans" w:cs="Segoe UI"/>
        </w:rPr>
        <w:t xml:space="preserve"> exploited</w:t>
      </w:r>
      <w:r>
        <w:rPr>
          <w:rFonts w:ascii="Public Sans" w:hAnsi="Public Sans" w:cs="Segoe UI"/>
        </w:rPr>
        <w:t>;</w:t>
      </w:r>
      <w:r w:rsidRPr="005576E4">
        <w:rPr>
          <w:rFonts w:ascii="Public Sans" w:hAnsi="Public Sans" w:cs="Segoe UI"/>
        </w:rPr>
        <w:t xml:space="preserve"> </w:t>
      </w:r>
      <w:r>
        <w:rPr>
          <w:rFonts w:ascii="Public Sans" w:hAnsi="Public Sans" w:cs="Segoe UI"/>
        </w:rPr>
        <w:t xml:space="preserve">and </w:t>
      </w:r>
      <w:r w:rsidRPr="005576E4">
        <w:rPr>
          <w:rFonts w:ascii="Public Sans" w:hAnsi="Public Sans" w:cs="Segoe UI"/>
        </w:rPr>
        <w:t xml:space="preserve">being prevented or restricted from access to family and others. </w:t>
      </w:r>
    </w:p>
    <w:p w:rsidR="00D25A61" w:rsidRPr="005576E4" w:rsidRDefault="00D25A61" w:rsidP="000B14CF">
      <w:pPr>
        <w:spacing w:before="120"/>
        <w:rPr>
          <w:rFonts w:ascii="Public Sans" w:hAnsi="Public Sans" w:cs="Segoe UI"/>
        </w:rPr>
      </w:pPr>
    </w:p>
    <w:p w:rsidR="000B14CF" w:rsidRPr="005576E4" w:rsidRDefault="000B14CF" w:rsidP="000B14CF">
      <w:pPr>
        <w:rPr>
          <w:rFonts w:ascii="Public Sans" w:hAnsi="Public Sans" w:cs="Segoe UI"/>
        </w:rPr>
      </w:pPr>
    </w:p>
    <w:p w:rsidR="000B14CF" w:rsidRPr="00316B88" w:rsidRDefault="000B14CF" w:rsidP="000B14CF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316B88">
        <w:rPr>
          <w:rFonts w:ascii="Public Sans" w:eastAsia="Helvetica" w:hAnsi="Public Sans" w:cs="Segoe UI"/>
          <w:b/>
          <w:sz w:val="18"/>
        </w:rPr>
        <w:lastRenderedPageBreak/>
        <w:t xml:space="preserve">Table </w:t>
      </w:r>
      <w:r w:rsidR="009849B4">
        <w:rPr>
          <w:rFonts w:ascii="Public Sans" w:eastAsia="Helvetica" w:hAnsi="Public Sans" w:cs="Segoe UI"/>
          <w:b/>
          <w:sz w:val="18"/>
        </w:rPr>
        <w:t>10</w:t>
      </w:r>
      <w:r w:rsidRPr="00316B88">
        <w:rPr>
          <w:rFonts w:ascii="Public Sans" w:eastAsia="Helvetica" w:hAnsi="Public Sans" w:cs="Segoe UI"/>
          <w:b/>
          <w:sz w:val="18"/>
        </w:rPr>
        <w:t>: Leading reported allegations in relation to older people,</w:t>
      </w:r>
      <w:r>
        <w:rPr>
          <w:rFonts w:ascii="Public Sans" w:eastAsia="Helvetica" w:hAnsi="Public Sans" w:cs="Segoe UI"/>
          <w:b/>
          <w:sz w:val="18"/>
        </w:rPr>
        <w:t xml:space="preserve"> 2020</w:t>
      </w:r>
      <w:r w:rsidRPr="00316B88">
        <w:rPr>
          <w:rFonts w:ascii="Public Sans" w:eastAsia="Helvetica" w:hAnsi="Public Sans" w:cs="Segoe UI"/>
          <w:b/>
          <w:sz w:val="18"/>
        </w:rPr>
        <w:t>-2</w:t>
      </w:r>
      <w:r>
        <w:rPr>
          <w:rFonts w:ascii="Public Sans" w:eastAsia="Helvetica" w:hAnsi="Public Sans" w:cs="Segoe UI"/>
          <w:b/>
          <w:sz w:val="18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"/>
        <w:gridCol w:w="7421"/>
        <w:gridCol w:w="1311"/>
      </w:tblGrid>
      <w:tr w:rsidR="000B14CF" w:rsidRPr="000B14CF" w:rsidTr="00E00975">
        <w:tc>
          <w:tcPr>
            <w:tcW w:w="299" w:type="pct"/>
            <w:shd w:val="clear" w:color="auto" w:fill="A5CCDF"/>
          </w:tcPr>
          <w:p w:rsidR="000B14CF" w:rsidRPr="000B14CF" w:rsidRDefault="000B14CF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</w:p>
        </w:tc>
        <w:tc>
          <w:tcPr>
            <w:tcW w:w="3995" w:type="pct"/>
            <w:shd w:val="clear" w:color="auto" w:fill="A5CCDF"/>
          </w:tcPr>
          <w:p w:rsidR="000B14CF" w:rsidRPr="000B14CF" w:rsidRDefault="000B14CF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b/>
                <w:sz w:val="20"/>
                <w:szCs w:val="21"/>
              </w:rPr>
              <w:t>Reported allegation</w:t>
            </w:r>
          </w:p>
        </w:tc>
        <w:tc>
          <w:tcPr>
            <w:tcW w:w="706" w:type="pct"/>
            <w:shd w:val="clear" w:color="auto" w:fill="A5CCDF"/>
          </w:tcPr>
          <w:p w:rsidR="000B14CF" w:rsidRPr="000B14CF" w:rsidRDefault="000B14CF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b/>
                <w:sz w:val="20"/>
                <w:szCs w:val="21"/>
              </w:rPr>
              <w:t>Number of cases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1.</w:t>
            </w:r>
          </w:p>
        </w:tc>
        <w:tc>
          <w:tcPr>
            <w:tcW w:w="3995" w:type="pct"/>
          </w:tcPr>
          <w:p w:rsidR="000B14CF" w:rsidRPr="000B14CF" w:rsidRDefault="000B14CF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Psychological abuse – verbal abuse</w:t>
            </w:r>
          </w:p>
        </w:tc>
        <w:tc>
          <w:tcPr>
            <w:tcW w:w="706" w:type="pct"/>
          </w:tcPr>
          <w:p w:rsidR="000B14CF" w:rsidRPr="000B14CF" w:rsidRDefault="000B14CF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2</w:t>
            </w:r>
            <w:r w:rsidR="00B25BE9">
              <w:rPr>
                <w:rFonts w:ascii="Public Sans" w:eastAsia="Helvetica" w:hAnsi="Public Sans" w:cs="Segoe UI"/>
                <w:sz w:val="20"/>
                <w:szCs w:val="21"/>
              </w:rPr>
              <w:t>,</w:t>
            </w:r>
            <w:r>
              <w:rPr>
                <w:rFonts w:ascii="Public Sans" w:eastAsia="Helvetica" w:hAnsi="Public Sans" w:cs="Segoe UI"/>
                <w:sz w:val="20"/>
                <w:szCs w:val="21"/>
              </w:rPr>
              <w:t>157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2.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Neglect – failure to meet the adult’s support needs 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1</w:t>
            </w:r>
            <w:r w:rsidR="00B25BE9">
              <w:rPr>
                <w:rFonts w:ascii="Public Sans" w:eastAsia="Helvetica" w:hAnsi="Public Sans" w:cs="Segoe UI"/>
                <w:sz w:val="20"/>
                <w:szCs w:val="21"/>
              </w:rPr>
              <w:t>,</w:t>
            </w:r>
            <w:r>
              <w:rPr>
                <w:rFonts w:ascii="Public Sans" w:eastAsia="Helvetica" w:hAnsi="Public Sans" w:cs="Segoe UI"/>
                <w:sz w:val="20"/>
                <w:szCs w:val="21"/>
              </w:rPr>
              <w:t>343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3.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Financial exploitation</w:t>
            </w: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 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1</w:t>
            </w:r>
            <w:r w:rsidR="00B25BE9">
              <w:rPr>
                <w:rFonts w:ascii="Public Sans" w:eastAsia="Helvetica" w:hAnsi="Public Sans" w:cs="Segoe UI"/>
                <w:sz w:val="20"/>
                <w:szCs w:val="21"/>
              </w:rPr>
              <w:t>,</w:t>
            </w:r>
            <w:r>
              <w:rPr>
                <w:rFonts w:ascii="Public Sans" w:eastAsia="Helvetica" w:hAnsi="Public Sans" w:cs="Segoe UI"/>
                <w:sz w:val="20"/>
                <w:szCs w:val="21"/>
              </w:rPr>
              <w:t>249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4.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Psychological abuse – other psychological abuse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1</w:t>
            </w:r>
            <w:r w:rsidR="00B25BE9">
              <w:rPr>
                <w:rFonts w:ascii="Public Sans" w:eastAsia="Helvetica" w:hAnsi="Public Sans" w:cs="Segoe UI"/>
                <w:sz w:val="20"/>
                <w:szCs w:val="21"/>
              </w:rPr>
              <w:t>,</w:t>
            </w:r>
            <w:r>
              <w:rPr>
                <w:rFonts w:ascii="Public Sans" w:eastAsia="Helvetica" w:hAnsi="Public Sans" w:cs="Segoe UI"/>
                <w:sz w:val="20"/>
                <w:szCs w:val="21"/>
              </w:rPr>
              <w:t>008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5.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Psychological abuse – preventing or restricting access to family/others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979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6.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Financial abuse – misuse of Power of Attorney/ Enduring Power of Attorney  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681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4440DE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7</w:t>
            </w:r>
            <w:r w:rsidR="000B14CF" w:rsidRPr="000B14C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Financial abuse – theft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674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8.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Financial abuse – other financial abuse 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465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9.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Psychological abuse – preventing or restricting access to supports and services  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455</w:t>
            </w:r>
          </w:p>
        </w:tc>
      </w:tr>
      <w:tr w:rsidR="000B14CF" w:rsidRPr="000B14CF" w:rsidTr="00E00975">
        <w:tc>
          <w:tcPr>
            <w:tcW w:w="299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10.</w:t>
            </w:r>
          </w:p>
        </w:tc>
        <w:tc>
          <w:tcPr>
            <w:tcW w:w="3995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Neglect – medical care</w:t>
            </w:r>
          </w:p>
        </w:tc>
        <w:tc>
          <w:tcPr>
            <w:tcW w:w="706" w:type="pct"/>
          </w:tcPr>
          <w:p w:rsidR="000B14CF" w:rsidRPr="000B14CF" w:rsidRDefault="000B14CF" w:rsidP="000B14C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434</w:t>
            </w:r>
          </w:p>
        </w:tc>
      </w:tr>
    </w:tbl>
    <w:p w:rsidR="000A4674" w:rsidRDefault="000A4674"/>
    <w:p w:rsidR="009849B4" w:rsidRDefault="009849B4"/>
    <w:p w:rsidR="000374DC" w:rsidRPr="002F7582" w:rsidRDefault="000374DC" w:rsidP="000374DC">
      <w:pPr>
        <w:pStyle w:val="Heading2"/>
        <w:spacing w:before="0"/>
        <w:rPr>
          <w:rFonts w:ascii="Public Sans" w:eastAsia="Helvetica" w:hAnsi="Public Sans"/>
          <w:b/>
          <w:color w:val="auto"/>
        </w:rPr>
      </w:pPr>
      <w:r w:rsidRPr="002F7582">
        <w:rPr>
          <w:rFonts w:ascii="Public Sans" w:eastAsia="Helvetica" w:hAnsi="Public Sans"/>
          <w:b/>
          <w:color w:val="auto"/>
        </w:rPr>
        <w:t>Adults with disability</w:t>
      </w:r>
    </w:p>
    <w:p w:rsidR="000374DC" w:rsidRDefault="000374DC" w:rsidP="000374DC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5576E4">
        <w:rPr>
          <w:rFonts w:ascii="Public Sans" w:eastAsia="Helvetica" w:hAnsi="Public Sans" w:cs="Segoe UI"/>
        </w:rPr>
        <w:t xml:space="preserve">The most commonly reported types of alleged abuse in relation to adults with disability in </w:t>
      </w:r>
      <w:r w:rsidR="009849B4">
        <w:rPr>
          <w:rFonts w:ascii="Public Sans" w:eastAsia="Helvetica" w:hAnsi="Public Sans" w:cs="Segoe UI"/>
        </w:rPr>
        <w:t xml:space="preserve">2020 – </w:t>
      </w:r>
      <w:r w:rsidRPr="005576E4">
        <w:rPr>
          <w:rFonts w:ascii="Public Sans" w:eastAsia="Helvetica" w:hAnsi="Public Sans" w:cs="Segoe UI"/>
        </w:rPr>
        <w:t>202</w:t>
      </w:r>
      <w:r>
        <w:rPr>
          <w:rFonts w:ascii="Public Sans" w:eastAsia="Helvetica" w:hAnsi="Public Sans" w:cs="Segoe UI"/>
        </w:rPr>
        <w:t>2</w:t>
      </w:r>
      <w:r w:rsidRPr="005576E4">
        <w:rPr>
          <w:rFonts w:ascii="Public Sans" w:eastAsia="Helvetica" w:hAnsi="Public Sans" w:cs="Segoe UI"/>
        </w:rPr>
        <w:t xml:space="preserve"> were psychological abuse, followed by </w:t>
      </w:r>
      <w:r w:rsidR="009849B4">
        <w:rPr>
          <w:rFonts w:ascii="Public Sans" w:eastAsia="Helvetica" w:hAnsi="Public Sans" w:cs="Segoe UI"/>
        </w:rPr>
        <w:t>neglect</w:t>
      </w:r>
      <w:r w:rsidRPr="005576E4">
        <w:rPr>
          <w:rFonts w:ascii="Public Sans" w:eastAsia="Helvetica" w:hAnsi="Public Sans" w:cs="Segoe UI"/>
        </w:rPr>
        <w:t xml:space="preserve">. </w:t>
      </w:r>
    </w:p>
    <w:p w:rsidR="000374DC" w:rsidRPr="005576E4" w:rsidRDefault="000374DC" w:rsidP="000374DC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</w:p>
    <w:p w:rsidR="000374DC" w:rsidRDefault="000374DC" w:rsidP="000374DC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2F7582">
        <w:rPr>
          <w:rFonts w:ascii="Public Sans" w:eastAsia="Helvetica" w:hAnsi="Public Sans" w:cs="Segoe UI"/>
          <w:b/>
          <w:sz w:val="18"/>
        </w:rPr>
        <w:t>Figure 1</w:t>
      </w:r>
      <w:r>
        <w:rPr>
          <w:rFonts w:ascii="Public Sans" w:eastAsia="Helvetica" w:hAnsi="Public Sans" w:cs="Segoe UI"/>
          <w:b/>
          <w:sz w:val="18"/>
        </w:rPr>
        <w:t>5</w:t>
      </w:r>
      <w:r w:rsidRPr="002F7582">
        <w:rPr>
          <w:rFonts w:ascii="Public Sans" w:eastAsia="Helvetica" w:hAnsi="Public Sans" w:cs="Segoe UI"/>
          <w:b/>
          <w:sz w:val="18"/>
        </w:rPr>
        <w:t xml:space="preserve">: Number of allegations in reports to the ADC about adults with disability, by abuse type, </w:t>
      </w:r>
      <w:r>
        <w:rPr>
          <w:rFonts w:ascii="Public Sans" w:eastAsia="Helvetica" w:hAnsi="Public Sans" w:cs="Segoe UI"/>
          <w:b/>
          <w:sz w:val="18"/>
        </w:rPr>
        <w:t>2020-22</w:t>
      </w:r>
    </w:p>
    <w:p w:rsidR="00423B08" w:rsidRDefault="00A17409">
      <w:r>
        <w:rPr>
          <w:noProof/>
          <w:lang w:eastAsia="en-AU"/>
        </w:rPr>
        <w:drawing>
          <wp:inline distT="0" distB="0" distL="0" distR="0" wp14:anchorId="44AC18C1" wp14:editId="32DE34D2">
            <wp:extent cx="5895975" cy="14097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23B08" w:rsidRDefault="00423B08"/>
    <w:p w:rsidR="009849B4" w:rsidRPr="00AC1BF2" w:rsidRDefault="009849B4" w:rsidP="009849B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AC1BF2">
        <w:rPr>
          <w:rFonts w:ascii="Public Sans" w:eastAsia="Helvetica" w:hAnsi="Public Sans" w:cs="Segoe UI"/>
          <w:b/>
          <w:sz w:val="18"/>
        </w:rPr>
        <w:t xml:space="preserve">Table </w:t>
      </w:r>
      <w:r>
        <w:rPr>
          <w:rFonts w:ascii="Public Sans" w:eastAsia="Helvetica" w:hAnsi="Public Sans" w:cs="Segoe UI"/>
          <w:b/>
          <w:sz w:val="18"/>
        </w:rPr>
        <w:t>11</w:t>
      </w:r>
      <w:r w:rsidRPr="00AC1BF2">
        <w:rPr>
          <w:rFonts w:ascii="Public Sans" w:eastAsia="Helvetica" w:hAnsi="Public Sans" w:cs="Segoe UI"/>
          <w:b/>
          <w:sz w:val="18"/>
        </w:rPr>
        <w:t xml:space="preserve">: Type of alleged abuse of the </w:t>
      </w:r>
      <w:r>
        <w:rPr>
          <w:rFonts w:ascii="Public Sans" w:eastAsia="Helvetica" w:hAnsi="Public Sans" w:cs="Segoe UI"/>
          <w:b/>
          <w:sz w:val="18"/>
        </w:rPr>
        <w:t>adult with disability</w:t>
      </w:r>
      <w:r w:rsidRPr="00AC1BF2">
        <w:rPr>
          <w:rFonts w:ascii="Public Sans" w:eastAsia="Helvetica" w:hAnsi="Public Sans" w:cs="Segoe UI"/>
          <w:b/>
          <w:sz w:val="18"/>
        </w:rPr>
        <w:t xml:space="preserve"> in reports to the ADC, </w:t>
      </w:r>
      <w:r>
        <w:rPr>
          <w:rFonts w:ascii="Public Sans" w:eastAsia="Helvetica" w:hAnsi="Public Sans" w:cs="Segoe UI"/>
          <w:b/>
          <w:sz w:val="18"/>
        </w:rPr>
        <w:t>2020-</w:t>
      </w:r>
      <w:r w:rsidRPr="00AC1BF2">
        <w:rPr>
          <w:rFonts w:ascii="Public Sans" w:eastAsia="Helvetica" w:hAnsi="Public Sans" w:cs="Segoe UI"/>
          <w:b/>
          <w:sz w:val="18"/>
        </w:rPr>
        <w:t>2</w:t>
      </w:r>
      <w:r>
        <w:rPr>
          <w:rFonts w:ascii="Public Sans" w:eastAsia="Helvetica" w:hAnsi="Public Sans" w:cs="Segoe UI"/>
          <w:b/>
          <w:sz w:val="18"/>
        </w:rPr>
        <w:t>2</w:t>
      </w:r>
      <w:r w:rsidRPr="00AC1BF2">
        <w:rPr>
          <w:rStyle w:val="FootnoteReference"/>
          <w:rFonts w:ascii="Public Sans" w:eastAsia="Helvetica" w:hAnsi="Public Sans" w:cs="Segoe UI"/>
          <w:b/>
          <w:sz w:val="18"/>
        </w:rPr>
        <w:footnoteReference w:id="6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780"/>
      </w:tblGrid>
      <w:tr w:rsidR="009849B4" w:rsidRPr="005576E4" w:rsidTr="004D5EAC">
        <w:tc>
          <w:tcPr>
            <w:tcW w:w="6091" w:type="dxa"/>
            <w:shd w:val="clear" w:color="auto" w:fill="A5CCDF"/>
          </w:tcPr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Type of alleged abuse</w:t>
            </w:r>
          </w:p>
        </w:tc>
        <w:tc>
          <w:tcPr>
            <w:tcW w:w="1417" w:type="dxa"/>
            <w:shd w:val="clear" w:color="auto" w:fill="A5CCDF"/>
          </w:tcPr>
          <w:p w:rsidR="009849B4" w:rsidRPr="005576E4" w:rsidRDefault="009849B4" w:rsidP="00E00975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Number of allegations</w:t>
            </w:r>
          </w:p>
        </w:tc>
        <w:tc>
          <w:tcPr>
            <w:tcW w:w="1780" w:type="dxa"/>
            <w:shd w:val="clear" w:color="auto" w:fill="A5CCDF"/>
          </w:tcPr>
          <w:p w:rsidR="009849B4" w:rsidRPr="005576E4" w:rsidRDefault="009849B4" w:rsidP="00E00975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% of all allegations</w:t>
            </w:r>
            <w:r w:rsidR="004D5EAC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 xml:space="preserve"> about adults with disability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 xml:space="preserve">Psychological abuse </w:t>
            </w:r>
          </w:p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verbal abuse; and preventing or restricting access to 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necessary supports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417" w:type="dxa"/>
          </w:tcPr>
          <w:p w:rsidR="009849B4" w:rsidRPr="005576E4" w:rsidRDefault="009849B4" w:rsidP="000C0B39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</w:t>
            </w:r>
            <w:r w:rsidR="000C0B39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,420</w:t>
            </w:r>
          </w:p>
        </w:tc>
        <w:tc>
          <w:tcPr>
            <w:tcW w:w="1780" w:type="dxa"/>
          </w:tcPr>
          <w:p w:rsidR="009849B4" w:rsidRPr="005576E4" w:rsidRDefault="000C0B39" w:rsidP="009849B4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34.1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9849B4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Neglect</w:t>
            </w:r>
          </w:p>
          <w:p w:rsidR="009849B4" w:rsidRPr="005576E4" w:rsidRDefault="009849B4" w:rsidP="009849B4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(Mainly failure to meet the person’s support needs; and medical neglect)</w:t>
            </w:r>
          </w:p>
        </w:tc>
        <w:tc>
          <w:tcPr>
            <w:tcW w:w="1417" w:type="dxa"/>
          </w:tcPr>
          <w:p w:rsidR="009849B4" w:rsidRPr="005576E4" w:rsidRDefault="000C0B39" w:rsidP="009849B4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1,082</w:t>
            </w:r>
          </w:p>
        </w:tc>
        <w:tc>
          <w:tcPr>
            <w:tcW w:w="1780" w:type="dxa"/>
          </w:tcPr>
          <w:p w:rsidR="009849B4" w:rsidRPr="005576E4" w:rsidRDefault="000C0B39" w:rsidP="009849B4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25.9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Financial abuse</w:t>
            </w:r>
          </w:p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financial exploitation; theft; and 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preventing access to/withholding the adult’s money)</w:t>
            </w:r>
          </w:p>
        </w:tc>
        <w:tc>
          <w:tcPr>
            <w:tcW w:w="1417" w:type="dxa"/>
          </w:tcPr>
          <w:p w:rsidR="009849B4" w:rsidRPr="005576E4" w:rsidRDefault="009849B4" w:rsidP="000C0B39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7</w:t>
            </w:r>
            <w:r w:rsidR="000C0B39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36</w:t>
            </w:r>
          </w:p>
        </w:tc>
        <w:tc>
          <w:tcPr>
            <w:tcW w:w="1780" w:type="dxa"/>
          </w:tcPr>
          <w:p w:rsidR="009849B4" w:rsidRPr="005576E4" w:rsidRDefault="000C0B39" w:rsidP="00E00975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17.6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Physical abuse</w:t>
            </w:r>
          </w:p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hitting/kicking/punching; 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threat of harm</w:t>
            </w:r>
            <w:r w:rsid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; and </w:t>
            </w:r>
            <w:r w:rsid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lastRenderedPageBreak/>
              <w:t>inappropriate restraint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417" w:type="dxa"/>
          </w:tcPr>
          <w:p w:rsidR="009849B4" w:rsidRPr="005576E4" w:rsidRDefault="000C0B39" w:rsidP="00E00975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lastRenderedPageBreak/>
              <w:t>631</w:t>
            </w:r>
          </w:p>
        </w:tc>
        <w:tc>
          <w:tcPr>
            <w:tcW w:w="1780" w:type="dxa"/>
          </w:tcPr>
          <w:p w:rsidR="009849B4" w:rsidRPr="005576E4" w:rsidRDefault="000C0B39" w:rsidP="009849B4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15.1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Sexual abuse</w:t>
            </w:r>
          </w:p>
          <w:p w:rsidR="009849B4" w:rsidRPr="005576E4" w:rsidRDefault="009849B4" w:rsidP="00E00975">
            <w:pPr>
              <w:widowControl w:val="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</w:p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(Mainly sexual 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assault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 xml:space="preserve">; and sexual </w:t>
            </w:r>
            <w:r w:rsidR="00B56564"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touching</w:t>
            </w:r>
            <w:r w:rsidRPr="00B56564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)</w:t>
            </w:r>
          </w:p>
        </w:tc>
        <w:tc>
          <w:tcPr>
            <w:tcW w:w="1417" w:type="dxa"/>
          </w:tcPr>
          <w:p w:rsidR="009849B4" w:rsidRPr="005576E4" w:rsidRDefault="009849B4" w:rsidP="000C0B39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</w:t>
            </w:r>
            <w:r w:rsidR="000C0B39"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75</w:t>
            </w:r>
          </w:p>
        </w:tc>
        <w:tc>
          <w:tcPr>
            <w:tcW w:w="1780" w:type="dxa"/>
          </w:tcPr>
          <w:p w:rsidR="009849B4" w:rsidRPr="005576E4" w:rsidRDefault="000C0B39" w:rsidP="009849B4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4.2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Other</w:t>
            </w:r>
          </w:p>
        </w:tc>
        <w:tc>
          <w:tcPr>
            <w:tcW w:w="1417" w:type="dxa"/>
          </w:tcPr>
          <w:p w:rsidR="009849B4" w:rsidRPr="005576E4" w:rsidRDefault="009849B4" w:rsidP="00E00975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126</w:t>
            </w:r>
          </w:p>
        </w:tc>
        <w:tc>
          <w:tcPr>
            <w:tcW w:w="1780" w:type="dxa"/>
          </w:tcPr>
          <w:p w:rsidR="009849B4" w:rsidRPr="005576E4" w:rsidRDefault="000C0B39" w:rsidP="009849B4">
            <w:pPr>
              <w:widowControl w:val="0"/>
              <w:jc w:val="right"/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color w:val="000000"/>
                <w:sz w:val="21"/>
                <w:szCs w:val="21"/>
                <w:u w:color="000000"/>
              </w:rPr>
              <w:t>3</w:t>
            </w:r>
          </w:p>
        </w:tc>
      </w:tr>
      <w:tr w:rsidR="009849B4" w:rsidRPr="005576E4" w:rsidTr="004D5EAC">
        <w:tc>
          <w:tcPr>
            <w:tcW w:w="6091" w:type="dxa"/>
          </w:tcPr>
          <w:p w:rsidR="009849B4" w:rsidRPr="005576E4" w:rsidRDefault="009849B4" w:rsidP="00D25A61">
            <w:pPr>
              <w:widowControl w:val="0"/>
              <w:spacing w:after="60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 xml:space="preserve">Total allegations in reports about </w:t>
            </w:r>
            <w:r w:rsidR="004440DE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adults with disability</w:t>
            </w:r>
          </w:p>
        </w:tc>
        <w:tc>
          <w:tcPr>
            <w:tcW w:w="1417" w:type="dxa"/>
          </w:tcPr>
          <w:p w:rsidR="009849B4" w:rsidRPr="005576E4" w:rsidRDefault="000C0B39" w:rsidP="00E00975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4,170</w:t>
            </w:r>
          </w:p>
        </w:tc>
        <w:tc>
          <w:tcPr>
            <w:tcW w:w="1780" w:type="dxa"/>
          </w:tcPr>
          <w:p w:rsidR="009849B4" w:rsidRPr="005576E4" w:rsidRDefault="009849B4" w:rsidP="00E00975">
            <w:pPr>
              <w:widowControl w:val="0"/>
              <w:jc w:val="right"/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</w:pPr>
            <w:r w:rsidRPr="005576E4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100</w:t>
            </w:r>
          </w:p>
        </w:tc>
      </w:tr>
    </w:tbl>
    <w:p w:rsidR="00423B08" w:rsidRDefault="00423B08"/>
    <w:p w:rsidR="001C127A" w:rsidRPr="005576E4" w:rsidRDefault="001C127A" w:rsidP="001C127A">
      <w:pPr>
        <w:pStyle w:val="Body"/>
        <w:widowControl w:val="0"/>
        <w:spacing w:before="12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The most common allegations reported in relation to adults with disability related to them </w:t>
      </w:r>
      <w:r>
        <w:rPr>
          <w:rFonts w:ascii="Public Sans" w:hAnsi="Public Sans" w:cs="Segoe UI"/>
        </w:rPr>
        <w:t xml:space="preserve">being subject to verbal and other psychological abuse; not having their support needs met; being </w:t>
      </w:r>
      <w:r w:rsidR="00F66AE5">
        <w:rPr>
          <w:rFonts w:ascii="Public Sans" w:hAnsi="Public Sans" w:cs="Segoe UI"/>
        </w:rPr>
        <w:t xml:space="preserve">prevented from accessing the supports they need; and being </w:t>
      </w:r>
      <w:r>
        <w:rPr>
          <w:rFonts w:ascii="Public Sans" w:hAnsi="Public Sans" w:cs="Segoe UI"/>
        </w:rPr>
        <w:t>financially exploited.</w:t>
      </w:r>
      <w:r w:rsidRPr="005576E4">
        <w:rPr>
          <w:rFonts w:ascii="Public Sans" w:hAnsi="Public Sans" w:cs="Segoe UI"/>
        </w:rPr>
        <w:t xml:space="preserve"> </w:t>
      </w:r>
    </w:p>
    <w:p w:rsidR="00FF705A" w:rsidRDefault="00FF705A"/>
    <w:p w:rsidR="001C127A" w:rsidRPr="00316B88" w:rsidRDefault="001C127A" w:rsidP="001C127A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316B88">
        <w:rPr>
          <w:rFonts w:ascii="Public Sans" w:eastAsia="Helvetica" w:hAnsi="Public Sans" w:cs="Segoe UI"/>
          <w:b/>
          <w:sz w:val="18"/>
        </w:rPr>
        <w:t xml:space="preserve">Table </w:t>
      </w:r>
      <w:r>
        <w:rPr>
          <w:rFonts w:ascii="Public Sans" w:eastAsia="Helvetica" w:hAnsi="Public Sans" w:cs="Segoe UI"/>
          <w:b/>
          <w:sz w:val="18"/>
        </w:rPr>
        <w:t>12</w:t>
      </w:r>
      <w:r w:rsidRPr="00316B88">
        <w:rPr>
          <w:rFonts w:ascii="Public Sans" w:eastAsia="Helvetica" w:hAnsi="Public Sans" w:cs="Segoe UI"/>
          <w:b/>
          <w:sz w:val="18"/>
        </w:rPr>
        <w:t xml:space="preserve">: Leading reported allegations in relation to </w:t>
      </w:r>
      <w:r>
        <w:rPr>
          <w:rFonts w:ascii="Public Sans" w:eastAsia="Helvetica" w:hAnsi="Public Sans" w:cs="Segoe UI"/>
          <w:b/>
          <w:sz w:val="18"/>
        </w:rPr>
        <w:t>adults with disability</w:t>
      </w:r>
      <w:r w:rsidRPr="00316B88">
        <w:rPr>
          <w:rFonts w:ascii="Public Sans" w:eastAsia="Helvetica" w:hAnsi="Public Sans" w:cs="Segoe UI"/>
          <w:b/>
          <w:sz w:val="18"/>
        </w:rPr>
        <w:t>,</w:t>
      </w:r>
      <w:r>
        <w:rPr>
          <w:rFonts w:ascii="Public Sans" w:eastAsia="Helvetica" w:hAnsi="Public Sans" w:cs="Segoe UI"/>
          <w:b/>
          <w:sz w:val="18"/>
        </w:rPr>
        <w:t xml:space="preserve"> 2020</w:t>
      </w:r>
      <w:r w:rsidRPr="00316B88">
        <w:rPr>
          <w:rFonts w:ascii="Public Sans" w:eastAsia="Helvetica" w:hAnsi="Public Sans" w:cs="Segoe UI"/>
          <w:b/>
          <w:sz w:val="18"/>
        </w:rPr>
        <w:t>-2</w:t>
      </w:r>
      <w:r>
        <w:rPr>
          <w:rFonts w:ascii="Public Sans" w:eastAsia="Helvetica" w:hAnsi="Public Sans" w:cs="Segoe UI"/>
          <w:b/>
          <w:sz w:val="18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"/>
        <w:gridCol w:w="7421"/>
        <w:gridCol w:w="1311"/>
      </w:tblGrid>
      <w:tr w:rsidR="001C127A" w:rsidRPr="000B14CF" w:rsidTr="00E00975">
        <w:tc>
          <w:tcPr>
            <w:tcW w:w="299" w:type="pct"/>
            <w:shd w:val="clear" w:color="auto" w:fill="A5CCDF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</w:p>
        </w:tc>
        <w:tc>
          <w:tcPr>
            <w:tcW w:w="3995" w:type="pct"/>
            <w:shd w:val="clear" w:color="auto" w:fill="A5CCDF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b/>
                <w:sz w:val="20"/>
                <w:szCs w:val="21"/>
              </w:rPr>
              <w:t>Reported allegation</w:t>
            </w:r>
          </w:p>
        </w:tc>
        <w:tc>
          <w:tcPr>
            <w:tcW w:w="706" w:type="pct"/>
            <w:shd w:val="clear" w:color="auto" w:fill="A5CCDF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b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b/>
                <w:sz w:val="20"/>
                <w:szCs w:val="21"/>
              </w:rPr>
              <w:t>Number of cases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1.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Psychological abuse – verbal abuse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490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2.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Neglect – failure to meet the adult’s support needs 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487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3.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Psychological abuse – other psychological abuse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306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4.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Psychological abuse – preventing or restricting access to supports and services  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290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5.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 xml:space="preserve">Financial exploitation 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252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6.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Physical abuse – hitting/kicking/punching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240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4440DE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7</w:t>
            </w:r>
            <w:r w:rsidR="001C127A" w:rsidRPr="000B14CF">
              <w:rPr>
                <w:rFonts w:ascii="Public Sans" w:eastAsia="Helvetica" w:hAnsi="Public Sans" w:cs="Segoe UI"/>
                <w:sz w:val="20"/>
                <w:szCs w:val="21"/>
              </w:rPr>
              <w:t>.</w:t>
            </w:r>
          </w:p>
        </w:tc>
        <w:tc>
          <w:tcPr>
            <w:tcW w:w="3995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Neglect – medical care</w:t>
            </w:r>
          </w:p>
        </w:tc>
        <w:tc>
          <w:tcPr>
            <w:tcW w:w="706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200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8.</w:t>
            </w:r>
          </w:p>
        </w:tc>
        <w:tc>
          <w:tcPr>
            <w:tcW w:w="3995" w:type="pct"/>
          </w:tcPr>
          <w:p w:rsidR="001C127A" w:rsidRPr="000B14CF" w:rsidRDefault="001C127A" w:rsidP="004440DE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Financial abuse – </w:t>
            </w:r>
            <w:r w:rsidR="004440DE">
              <w:rPr>
                <w:rFonts w:ascii="Public Sans" w:eastAsia="Helvetica" w:hAnsi="Public Sans" w:cs="Segoe UI"/>
                <w:sz w:val="20"/>
                <w:szCs w:val="21"/>
              </w:rPr>
              <w:t>theft</w:t>
            </w: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 xml:space="preserve"> </w:t>
            </w:r>
          </w:p>
        </w:tc>
        <w:tc>
          <w:tcPr>
            <w:tcW w:w="706" w:type="pct"/>
          </w:tcPr>
          <w:p w:rsidR="001C127A" w:rsidRPr="000B14CF" w:rsidRDefault="004440DE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140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9.</w:t>
            </w:r>
          </w:p>
        </w:tc>
        <w:tc>
          <w:tcPr>
            <w:tcW w:w="3995" w:type="pct"/>
          </w:tcPr>
          <w:p w:rsidR="001C127A" w:rsidRPr="000B14CF" w:rsidRDefault="004440DE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Financial abuse – preventing access to or withholding the adult’s money</w:t>
            </w:r>
          </w:p>
        </w:tc>
        <w:tc>
          <w:tcPr>
            <w:tcW w:w="706" w:type="pct"/>
          </w:tcPr>
          <w:p w:rsidR="001C127A" w:rsidRPr="000B14CF" w:rsidRDefault="004440DE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128</w:t>
            </w:r>
          </w:p>
        </w:tc>
      </w:tr>
      <w:tr w:rsidR="001C127A" w:rsidRPr="000B14CF" w:rsidTr="00E00975">
        <w:tc>
          <w:tcPr>
            <w:tcW w:w="299" w:type="pct"/>
          </w:tcPr>
          <w:p w:rsidR="001C127A" w:rsidRPr="000B14CF" w:rsidRDefault="001C127A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 w:rsidRPr="000B14CF">
              <w:rPr>
                <w:rFonts w:ascii="Public Sans" w:eastAsia="Helvetica" w:hAnsi="Public Sans" w:cs="Segoe UI"/>
                <w:sz w:val="20"/>
                <w:szCs w:val="21"/>
              </w:rPr>
              <w:t>10.</w:t>
            </w:r>
          </w:p>
        </w:tc>
        <w:tc>
          <w:tcPr>
            <w:tcW w:w="3995" w:type="pct"/>
          </w:tcPr>
          <w:p w:rsidR="001C127A" w:rsidRPr="000B14CF" w:rsidRDefault="004440DE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Other</w:t>
            </w:r>
          </w:p>
        </w:tc>
        <w:tc>
          <w:tcPr>
            <w:tcW w:w="706" w:type="pct"/>
          </w:tcPr>
          <w:p w:rsidR="001C127A" w:rsidRPr="000B14CF" w:rsidRDefault="004440DE" w:rsidP="00E00975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40" w:lineRule="auto"/>
              <w:jc w:val="right"/>
              <w:rPr>
                <w:rFonts w:ascii="Public Sans" w:eastAsia="Helvetica" w:hAnsi="Public Sans" w:cs="Segoe UI"/>
                <w:sz w:val="20"/>
                <w:szCs w:val="21"/>
              </w:rPr>
            </w:pPr>
            <w:r>
              <w:rPr>
                <w:rFonts w:ascii="Public Sans" w:eastAsia="Helvetica" w:hAnsi="Public Sans" w:cs="Segoe UI"/>
                <w:sz w:val="20"/>
                <w:szCs w:val="21"/>
              </w:rPr>
              <w:t>126</w:t>
            </w:r>
          </w:p>
        </w:tc>
      </w:tr>
    </w:tbl>
    <w:p w:rsidR="008B7F94" w:rsidRPr="007D6AE2" w:rsidRDefault="008B7F94" w:rsidP="007E0AEF">
      <w:pPr>
        <w:pStyle w:val="Heading1"/>
        <w:numPr>
          <w:ilvl w:val="0"/>
          <w:numId w:val="1"/>
        </w:numPr>
        <w:spacing w:before="480"/>
        <w:ind w:left="425" w:hanging="425"/>
        <w:rPr>
          <w:rFonts w:ascii="Public Sans" w:hAnsi="Public Sans"/>
          <w:b/>
          <w:color w:val="auto"/>
        </w:rPr>
      </w:pPr>
      <w:r>
        <w:rPr>
          <w:rFonts w:ascii="Public Sans" w:hAnsi="Public Sans"/>
          <w:b/>
          <w:color w:val="auto"/>
        </w:rPr>
        <w:t>O</w:t>
      </w:r>
      <w:r w:rsidRPr="007D6AE2">
        <w:rPr>
          <w:rFonts w:ascii="Public Sans" w:hAnsi="Public Sans"/>
          <w:b/>
          <w:color w:val="auto"/>
        </w:rPr>
        <w:t>utcomes</w:t>
      </w:r>
    </w:p>
    <w:p w:rsidR="008B7F94" w:rsidRPr="007D6AE2" w:rsidRDefault="008B7F94" w:rsidP="008B7F94">
      <w:pPr>
        <w:pStyle w:val="Body"/>
        <w:widowControl w:val="0"/>
        <w:spacing w:before="240" w:after="0" w:line="240" w:lineRule="auto"/>
        <w:rPr>
          <w:rFonts w:ascii="Public Sans" w:hAnsi="Public Sans" w:cs="Segoe UI"/>
          <w:b/>
          <w:color w:val="auto"/>
        </w:rPr>
      </w:pPr>
      <w:r w:rsidRPr="008B7F94">
        <w:rPr>
          <w:rStyle w:val="Heading2Char"/>
          <w:rFonts w:ascii="Public Sans" w:hAnsi="Public Sans"/>
          <w:b/>
          <w:color w:val="auto"/>
        </w:rPr>
        <w:t>6.1</w:t>
      </w:r>
      <w:r w:rsidRPr="008B7F94">
        <w:rPr>
          <w:rStyle w:val="Heading2Char"/>
          <w:rFonts w:ascii="Public Sans" w:hAnsi="Public Sans"/>
          <w:b/>
          <w:color w:val="auto"/>
        </w:rPr>
        <w:tab/>
        <w:t>Person outcomes</w:t>
      </w:r>
    </w:p>
    <w:p w:rsidR="008B7F94" w:rsidRPr="005576E4" w:rsidRDefault="006153B1" w:rsidP="008B7F94">
      <w:pPr>
        <w:pStyle w:val="Body"/>
        <w:widowControl w:val="0"/>
        <w:spacing w:before="240" w:after="0" w:line="240" w:lineRule="auto"/>
        <w:rPr>
          <w:rFonts w:ascii="Public Sans" w:hAnsi="Public Sans" w:cs="Segoe UI"/>
        </w:rPr>
      </w:pPr>
      <w:r>
        <w:rPr>
          <w:rFonts w:ascii="Public Sans" w:hAnsi="Public Sans" w:cs="Segoe UI"/>
        </w:rPr>
        <w:t>The ADC closed 10,908 reports in 2020 – 2022. Key</w:t>
      </w:r>
      <w:r w:rsidR="008B7F94" w:rsidRPr="005576E4">
        <w:rPr>
          <w:rFonts w:ascii="Public Sans" w:hAnsi="Public Sans" w:cs="Segoe UI"/>
        </w:rPr>
        <w:t xml:space="preserve"> outcomes for the older people and adults with disability included that their views and wishes were ascertained and respected; </w:t>
      </w:r>
      <w:r w:rsidR="0086785E">
        <w:rPr>
          <w:rFonts w:ascii="Public Sans" w:hAnsi="Public Sans" w:cs="Segoe UI"/>
        </w:rPr>
        <w:t xml:space="preserve">police/justice actions were taken; they </w:t>
      </w:r>
      <w:r w:rsidR="008B7F94">
        <w:rPr>
          <w:rFonts w:ascii="Public Sans" w:hAnsi="Public Sans" w:cs="Segoe UI"/>
        </w:rPr>
        <w:t>were assisted to access necessary and increased supports;</w:t>
      </w:r>
      <w:r w:rsidR="008B7F94" w:rsidRPr="005576E4">
        <w:rPr>
          <w:rFonts w:ascii="Public Sans" w:hAnsi="Public Sans" w:cs="Segoe UI"/>
        </w:rPr>
        <w:t xml:space="preserve"> </w:t>
      </w:r>
      <w:r w:rsidR="008B7F94">
        <w:rPr>
          <w:rFonts w:ascii="Public Sans" w:hAnsi="Public Sans" w:cs="Segoe UI"/>
        </w:rPr>
        <w:t>and they moved to alternative accommodation.</w:t>
      </w:r>
    </w:p>
    <w:p w:rsidR="006153B1" w:rsidRPr="005576E4" w:rsidRDefault="006153B1" w:rsidP="008B7F94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:rsidR="008B7F94" w:rsidRPr="007D6AE2" w:rsidRDefault="008B7F94" w:rsidP="008B7F94">
      <w:pPr>
        <w:rPr>
          <w:rFonts w:ascii="Public Sans" w:hAnsi="Public Sans"/>
          <w:b/>
          <w:sz w:val="18"/>
        </w:rPr>
      </w:pPr>
      <w:r w:rsidRPr="007D6AE2">
        <w:rPr>
          <w:rFonts w:ascii="Public Sans" w:hAnsi="Public Sans"/>
          <w:b/>
          <w:sz w:val="18"/>
        </w:rPr>
        <w:t xml:space="preserve">Table </w:t>
      </w:r>
      <w:r w:rsidR="00A07A54">
        <w:rPr>
          <w:rFonts w:ascii="Public Sans" w:hAnsi="Public Sans"/>
          <w:b/>
          <w:sz w:val="18"/>
        </w:rPr>
        <w:t>13</w:t>
      </w:r>
      <w:r w:rsidRPr="007D6AE2">
        <w:rPr>
          <w:rFonts w:ascii="Public Sans" w:hAnsi="Public Sans"/>
          <w:b/>
          <w:sz w:val="18"/>
        </w:rPr>
        <w:t>: Leading outcomes for the person the subject of a report to the ADC, reports closed</w:t>
      </w:r>
      <w:r w:rsidR="007E0AEF">
        <w:rPr>
          <w:rFonts w:ascii="Public Sans" w:hAnsi="Public Sans"/>
          <w:b/>
          <w:sz w:val="18"/>
        </w:rPr>
        <w:t xml:space="preserve"> </w:t>
      </w:r>
      <w:r w:rsidR="006153B1">
        <w:rPr>
          <w:rFonts w:ascii="Public Sans" w:hAnsi="Public Sans"/>
          <w:b/>
          <w:sz w:val="18"/>
        </w:rPr>
        <w:t>2020</w:t>
      </w:r>
      <w:r w:rsidRPr="007D6AE2">
        <w:rPr>
          <w:rFonts w:ascii="Public Sans" w:hAnsi="Public Sans"/>
          <w:b/>
          <w:sz w:val="18"/>
        </w:rPr>
        <w:t>-2</w:t>
      </w:r>
      <w:r>
        <w:rPr>
          <w:rFonts w:ascii="Public Sans" w:hAnsi="Public Sans"/>
          <w:b/>
          <w:sz w:val="18"/>
        </w:rPr>
        <w:t>2</w:t>
      </w:r>
    </w:p>
    <w:tbl>
      <w:tblPr>
        <w:tblW w:w="4709" w:type="pct"/>
        <w:tblLook w:val="04A0" w:firstRow="1" w:lastRow="0" w:firstColumn="1" w:lastColumn="0" w:noHBand="0" w:noVBand="1"/>
      </w:tblPr>
      <w:tblGrid>
        <w:gridCol w:w="6753"/>
        <w:gridCol w:w="1994"/>
      </w:tblGrid>
      <w:tr w:rsidR="008B7F94" w:rsidRPr="00660415" w:rsidTr="00E00975">
        <w:trPr>
          <w:trHeight w:val="421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CDF"/>
            <w:vAlign w:val="bottom"/>
            <w:hideMark/>
          </w:tcPr>
          <w:p w:rsidR="008B7F94" w:rsidRPr="00660415" w:rsidRDefault="008B7F94" w:rsidP="00E00975">
            <w:pPr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Person outcomes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CDF"/>
            <w:vAlign w:val="bottom"/>
            <w:hideMark/>
          </w:tcPr>
          <w:p w:rsidR="008B7F94" w:rsidRPr="00660415" w:rsidRDefault="008B7F94" w:rsidP="00E00975">
            <w:pPr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Number of cases</w:t>
            </w:r>
            <w:r w:rsidRPr="00660415">
              <w:rPr>
                <w:rStyle w:val="FootnoteReference"/>
                <w:rFonts w:ascii="Public Sans" w:eastAsia="Times New Roman" w:hAnsi="Public Sans"/>
                <w:b/>
                <w:bCs/>
                <w:color w:val="000000"/>
                <w:sz w:val="21"/>
                <w:szCs w:val="21"/>
                <w:lang w:eastAsia="en-AU"/>
              </w:rPr>
              <w:footnoteReference w:id="7"/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F94" w:rsidRPr="00660415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Will and preference of Person ascertained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8B7F94" w:rsidP="006153B1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17</w:t>
            </w:r>
            <w:r w:rsidR="006153B1"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35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F94" w:rsidRPr="00660415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Will and preference of Person respected/upheld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8B7F94" w:rsidP="006153B1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</w:t>
            </w:r>
            <w:r w:rsidR="006153B1"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561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7F94" w:rsidRPr="00660415" w:rsidRDefault="006153B1" w:rsidP="006153B1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Other police/justice action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302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6153B1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Referral or help to access aged care supports  </w:t>
            </w:r>
            <w:r w:rsidR="008B7F94"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289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Change in accommodation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250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Review or assessment of aged care supports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8B7F94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</w:t>
            </w:r>
            <w:r w:rsidR="006153B1"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4</w:t>
            </w: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Aged care support provided/increased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237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Referral or help to access legal support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203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Review or assessment of disability supports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203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lastRenderedPageBreak/>
              <w:t>Referral or help to access other supports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197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Disability support provided/increased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F94" w:rsidRPr="00660415" w:rsidRDefault="006153B1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188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F94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Referral or help to access advocacy support 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F94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160</w:t>
            </w:r>
          </w:p>
        </w:tc>
      </w:tr>
      <w:tr w:rsidR="008B7F94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F94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help to access disability supports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F94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136</w:t>
            </w:r>
          </w:p>
        </w:tc>
      </w:tr>
      <w:tr w:rsidR="0086785E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Referral or help to access health services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127</w:t>
            </w:r>
          </w:p>
        </w:tc>
      </w:tr>
      <w:tr w:rsidR="0086785E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Review or assessment of health/medical needs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123</w:t>
            </w:r>
          </w:p>
        </w:tc>
      </w:tr>
      <w:tr w:rsidR="0086785E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Other supports or services provided/increased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111</w:t>
            </w:r>
          </w:p>
        </w:tc>
      </w:tr>
      <w:tr w:rsidR="0086785E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Guardianship application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109</w:t>
            </w:r>
          </w:p>
        </w:tc>
      </w:tr>
      <w:tr w:rsidR="0086785E" w:rsidRPr="00660415" w:rsidTr="00E00975">
        <w:trPr>
          <w:trHeight w:val="315"/>
        </w:trPr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86785E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Health/medical support provided/increased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5E" w:rsidRPr="00660415" w:rsidRDefault="0086785E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660415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106</w:t>
            </w:r>
          </w:p>
        </w:tc>
      </w:tr>
    </w:tbl>
    <w:p w:rsidR="008B7F94" w:rsidRDefault="008B7F94" w:rsidP="008B7F94">
      <w:pPr>
        <w:rPr>
          <w:rFonts w:ascii="Public Sans" w:hAnsi="Public Sans"/>
        </w:rPr>
      </w:pPr>
    </w:p>
    <w:p w:rsidR="007E0AEF" w:rsidRDefault="007E0AEF" w:rsidP="008B7F94">
      <w:pPr>
        <w:rPr>
          <w:rFonts w:ascii="Public Sans" w:hAnsi="Public Sans"/>
        </w:rPr>
      </w:pPr>
    </w:p>
    <w:p w:rsidR="008B7F94" w:rsidRPr="0066456C" w:rsidRDefault="008B7F94" w:rsidP="008B7F94">
      <w:pPr>
        <w:pStyle w:val="Heading2"/>
        <w:spacing w:before="120"/>
        <w:rPr>
          <w:rFonts w:ascii="Public Sans" w:hAnsi="Public Sans"/>
          <w:b/>
          <w:color w:val="auto"/>
        </w:rPr>
      </w:pPr>
      <w:r w:rsidRPr="0066456C">
        <w:rPr>
          <w:rFonts w:ascii="Public Sans" w:hAnsi="Public Sans"/>
          <w:b/>
          <w:color w:val="auto"/>
        </w:rPr>
        <w:t>6.3</w:t>
      </w:r>
      <w:r w:rsidRPr="0066456C">
        <w:rPr>
          <w:rFonts w:ascii="Public Sans" w:hAnsi="Public Sans"/>
          <w:b/>
          <w:color w:val="auto"/>
        </w:rPr>
        <w:tab/>
        <w:t>Subject of allegation outcomes</w:t>
      </w:r>
    </w:p>
    <w:p w:rsidR="008B7F94" w:rsidRDefault="008B7F94" w:rsidP="008B7F94">
      <w:pPr>
        <w:pStyle w:val="Body"/>
        <w:widowControl w:val="0"/>
        <w:spacing w:before="240" w:after="0" w:line="240" w:lineRule="auto"/>
        <w:rPr>
          <w:rFonts w:ascii="Public Sans" w:hAnsi="Public Sans" w:cs="Segoe UI"/>
        </w:rPr>
      </w:pPr>
      <w:r w:rsidRPr="005576E4">
        <w:rPr>
          <w:rFonts w:ascii="Public Sans" w:hAnsi="Public Sans" w:cs="Segoe UI"/>
        </w:rPr>
        <w:t xml:space="preserve">For the </w:t>
      </w:r>
      <w:r>
        <w:rPr>
          <w:rFonts w:ascii="Public Sans" w:hAnsi="Public Sans" w:cs="Segoe UI"/>
        </w:rPr>
        <w:t>1</w:t>
      </w:r>
      <w:r w:rsidR="00A07A54">
        <w:rPr>
          <w:rFonts w:ascii="Public Sans" w:hAnsi="Public Sans" w:cs="Segoe UI"/>
        </w:rPr>
        <w:t>0</w:t>
      </w:r>
      <w:r>
        <w:rPr>
          <w:rFonts w:ascii="Public Sans" w:hAnsi="Public Sans" w:cs="Segoe UI"/>
        </w:rPr>
        <w:t>,</w:t>
      </w:r>
      <w:r w:rsidR="00A07A54">
        <w:rPr>
          <w:rFonts w:ascii="Public Sans" w:hAnsi="Public Sans" w:cs="Segoe UI"/>
        </w:rPr>
        <w:t>908</w:t>
      </w:r>
      <w:r w:rsidRPr="005576E4">
        <w:rPr>
          <w:rFonts w:ascii="Public Sans" w:hAnsi="Public Sans" w:cs="Segoe UI"/>
        </w:rPr>
        <w:t xml:space="preserve"> reports closed </w:t>
      </w:r>
      <w:r w:rsidR="00A07A54">
        <w:rPr>
          <w:rFonts w:ascii="Public Sans" w:hAnsi="Public Sans" w:cs="Segoe UI"/>
        </w:rPr>
        <w:t xml:space="preserve">in 2020 </w:t>
      </w:r>
      <w:r w:rsidR="001A06D8">
        <w:rPr>
          <w:rFonts w:ascii="Public Sans" w:hAnsi="Public Sans" w:cs="Segoe UI"/>
        </w:rPr>
        <w:t>–</w:t>
      </w:r>
      <w:r w:rsidR="00A07A54">
        <w:rPr>
          <w:rFonts w:ascii="Public Sans" w:hAnsi="Public Sans" w:cs="Segoe UI"/>
        </w:rPr>
        <w:t xml:space="preserve"> 2022</w:t>
      </w:r>
      <w:r w:rsidRPr="005576E4">
        <w:rPr>
          <w:rFonts w:ascii="Public Sans" w:hAnsi="Public Sans" w:cs="Segoe UI"/>
        </w:rPr>
        <w:t>, key outcomes in relation to the subject of allegation included that actions were taken to reduce or manage their contact with and access to the adult with disability/ older person (including through an ADVO). In appropriate cases, subjects of allegation were also provided with education or advice, and linked to additional supports.</w:t>
      </w:r>
    </w:p>
    <w:p w:rsidR="008B7F94" w:rsidRPr="005576E4" w:rsidRDefault="008B7F94" w:rsidP="008B7F94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:rsidR="008B7F94" w:rsidRPr="006C3E4E" w:rsidRDefault="008B7F94" w:rsidP="008B7F94">
      <w:pPr>
        <w:rPr>
          <w:rFonts w:ascii="Public Sans" w:hAnsi="Public Sans"/>
          <w:b/>
          <w:sz w:val="18"/>
        </w:rPr>
      </w:pPr>
      <w:r w:rsidRPr="006C3E4E">
        <w:rPr>
          <w:rFonts w:ascii="Public Sans" w:hAnsi="Public Sans"/>
          <w:b/>
          <w:sz w:val="18"/>
        </w:rPr>
        <w:t>Table 1</w:t>
      </w:r>
      <w:r w:rsidR="00A07A54">
        <w:rPr>
          <w:rFonts w:ascii="Public Sans" w:hAnsi="Public Sans"/>
          <w:b/>
          <w:sz w:val="18"/>
        </w:rPr>
        <w:t>4</w:t>
      </w:r>
      <w:r w:rsidRPr="006C3E4E">
        <w:rPr>
          <w:rFonts w:ascii="Public Sans" w:hAnsi="Public Sans"/>
          <w:b/>
          <w:sz w:val="18"/>
        </w:rPr>
        <w:t>: Leading outcomes in relation to the subject of allegation in a report to the ADC, reports closed</w:t>
      </w:r>
      <w:r w:rsidR="00A07A54">
        <w:rPr>
          <w:rFonts w:ascii="Public Sans" w:hAnsi="Public Sans"/>
          <w:b/>
          <w:sz w:val="18"/>
        </w:rPr>
        <w:t xml:space="preserve"> 2020</w:t>
      </w:r>
      <w:r>
        <w:rPr>
          <w:rFonts w:ascii="Public Sans" w:hAnsi="Public Sans"/>
          <w:b/>
          <w:sz w:val="18"/>
        </w:rPr>
        <w:t>-</w:t>
      </w:r>
      <w:r w:rsidRPr="006C3E4E">
        <w:rPr>
          <w:rFonts w:ascii="Public Sans" w:hAnsi="Public Sans"/>
          <w:b/>
          <w:sz w:val="18"/>
        </w:rPr>
        <w:t>2</w:t>
      </w:r>
      <w:r>
        <w:rPr>
          <w:rFonts w:ascii="Public Sans" w:hAnsi="Public Sans"/>
          <w:b/>
          <w:sz w:val="18"/>
        </w:rPr>
        <w:t>2</w:t>
      </w:r>
    </w:p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3"/>
        <w:gridCol w:w="1994"/>
      </w:tblGrid>
      <w:tr w:rsidR="008B7F94" w:rsidRPr="009A2E70" w:rsidTr="00E00975">
        <w:trPr>
          <w:trHeight w:val="349"/>
        </w:trPr>
        <w:tc>
          <w:tcPr>
            <w:tcW w:w="3860" w:type="pct"/>
            <w:shd w:val="clear" w:color="auto" w:fill="A5CCDF"/>
            <w:vAlign w:val="bottom"/>
            <w:hideMark/>
          </w:tcPr>
          <w:p w:rsidR="008B7F94" w:rsidRPr="009A2E70" w:rsidRDefault="008B7F94" w:rsidP="00E00975">
            <w:pPr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Subject of allegation outcomes</w:t>
            </w:r>
          </w:p>
        </w:tc>
        <w:tc>
          <w:tcPr>
            <w:tcW w:w="1140" w:type="pct"/>
            <w:shd w:val="clear" w:color="auto" w:fill="A5CCDF"/>
            <w:vAlign w:val="bottom"/>
            <w:hideMark/>
          </w:tcPr>
          <w:p w:rsidR="008B7F94" w:rsidRPr="009A2E70" w:rsidRDefault="008B7F94" w:rsidP="00E00975">
            <w:pPr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Number of cases</w:t>
            </w:r>
            <w:r w:rsidRPr="009A2E70">
              <w:rPr>
                <w:rStyle w:val="FootnoteReference"/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footnoteReference w:id="8"/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B7F94" w:rsidRPr="009A2E70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Education or advice provided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Pr="009A2E70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969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B7F94" w:rsidRPr="009A2E70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Linked to/received more support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Pr="009A2E70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273</w:t>
            </w:r>
          </w:p>
        </w:tc>
      </w:tr>
      <w:tr w:rsidR="00F7237C" w:rsidRPr="009A2E70" w:rsidTr="00E00975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</w:tcPr>
          <w:p w:rsidR="00F7237C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ADVO put in place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F7237C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93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</w:tcPr>
          <w:p w:rsidR="008B7F94" w:rsidRPr="009A2E70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Reduced/supervised access to Person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73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noWrap/>
            <w:vAlign w:val="center"/>
          </w:tcPr>
          <w:p w:rsidR="008B7F94" w:rsidRPr="009A2E70" w:rsidRDefault="008B7F94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9A2E70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Prevented from access to Person</w:t>
            </w: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  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Pr="009A2E70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72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Removed from premises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52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Pr="009A2E70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Criminal charges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45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Pr="009A2E70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Removal as POA or EPOA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41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Pr="009A2E70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Removal as NDIS nominee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Pr="009A2E70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19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Pr="009A2E70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Benefit removed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Pr="009A2E70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18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Removal of other authority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18</w:t>
            </w:r>
          </w:p>
        </w:tc>
      </w:tr>
      <w:tr w:rsidR="008B7F94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8B7F94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Criminal conviction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8B7F94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17</w:t>
            </w:r>
          </w:p>
        </w:tc>
      </w:tr>
      <w:tr w:rsidR="00F7237C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F7237C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Removal as enduring guardian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F7237C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16</w:t>
            </w:r>
          </w:p>
        </w:tc>
      </w:tr>
      <w:tr w:rsidR="00F7237C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F7237C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Removal as guardian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F7237C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13</w:t>
            </w:r>
          </w:p>
        </w:tc>
      </w:tr>
      <w:tr w:rsidR="00F7237C" w:rsidRPr="009A2E70" w:rsidTr="00E00975">
        <w:trPr>
          <w:trHeight w:val="315"/>
        </w:trPr>
        <w:tc>
          <w:tcPr>
            <w:tcW w:w="3860" w:type="pct"/>
            <w:shd w:val="clear" w:color="auto" w:fill="auto"/>
            <w:vAlign w:val="center"/>
          </w:tcPr>
          <w:p w:rsidR="00F7237C" w:rsidRDefault="00F7237C" w:rsidP="00E00975">
            <w:pP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APVO put in place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 w:rsidR="00F7237C" w:rsidRDefault="00F7237C" w:rsidP="00E00975">
            <w:pPr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10</w:t>
            </w:r>
          </w:p>
        </w:tc>
      </w:tr>
    </w:tbl>
    <w:p w:rsidR="008B7F94" w:rsidRPr="005576E4" w:rsidRDefault="008B7F94" w:rsidP="008B7F94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:rsidR="00946C75" w:rsidRDefault="00946C75"/>
    <w:p w:rsidR="00E90493" w:rsidRDefault="00E90493"/>
    <w:sectPr w:rsidR="00E90493" w:rsidSect="00660415">
      <w:footerReference w:type="default" r:id="rId22"/>
      <w:headerReference w:type="first" r:id="rId23"/>
      <w:pgSz w:w="11906" w:h="16838"/>
      <w:pgMar w:top="851" w:right="1304" w:bottom="73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F0" w:rsidRDefault="00A115F0" w:rsidP="006B0530">
      <w:r>
        <w:separator/>
      </w:r>
    </w:p>
  </w:endnote>
  <w:endnote w:type="continuationSeparator" w:id="0">
    <w:p w:rsidR="00A115F0" w:rsidRDefault="00A115F0" w:rsidP="006B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556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0415" w:rsidRDefault="006604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6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415" w:rsidRDefault="00660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F0" w:rsidRDefault="00A115F0" w:rsidP="006B0530">
      <w:r>
        <w:separator/>
      </w:r>
    </w:p>
  </w:footnote>
  <w:footnote w:type="continuationSeparator" w:id="0">
    <w:p w:rsidR="00A115F0" w:rsidRDefault="00A115F0" w:rsidP="006B0530">
      <w:r>
        <w:continuationSeparator/>
      </w:r>
    </w:p>
  </w:footnote>
  <w:footnote w:id="1">
    <w:p w:rsidR="00A115F0" w:rsidRPr="009612C3" w:rsidRDefault="00A115F0" w:rsidP="006B0530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9612C3">
        <w:rPr>
          <w:rStyle w:val="FootnoteReference"/>
          <w:rFonts w:ascii="Public Sans" w:hAnsi="Public Sans"/>
          <w:sz w:val="18"/>
        </w:rPr>
        <w:footnoteRef/>
      </w:r>
      <w:r w:rsidRPr="009612C3">
        <w:rPr>
          <w:rFonts w:ascii="Public Sans" w:hAnsi="Public Sans"/>
          <w:sz w:val="18"/>
        </w:rPr>
        <w:t xml:space="preserve"> Adults aged 65 years and older, and Aboriginal and/or Torres Strait Islander adults aged 50 years and older</w:t>
      </w:r>
      <w:r>
        <w:rPr>
          <w:rFonts w:ascii="Public Sans" w:hAnsi="Public Sans"/>
          <w:sz w:val="18"/>
        </w:rPr>
        <w:t>.</w:t>
      </w:r>
    </w:p>
  </w:footnote>
  <w:footnote w:id="2">
    <w:p w:rsidR="00A115F0" w:rsidRPr="009612C3" w:rsidRDefault="00A115F0" w:rsidP="006B0530">
      <w:pPr>
        <w:pStyle w:val="FootnoteText"/>
        <w:spacing w:after="0" w:line="240" w:lineRule="auto"/>
      </w:pPr>
      <w:r w:rsidRPr="009612C3">
        <w:rPr>
          <w:rStyle w:val="FootnoteReference"/>
          <w:rFonts w:ascii="Public Sans" w:hAnsi="Public Sans"/>
          <w:sz w:val="18"/>
        </w:rPr>
        <w:footnoteRef/>
      </w:r>
      <w:r w:rsidRPr="009612C3">
        <w:rPr>
          <w:rFonts w:ascii="Public Sans" w:hAnsi="Public Sans"/>
          <w:sz w:val="18"/>
        </w:rPr>
        <w:t xml:space="preserve"> Adults aged 18 years and older with a disability as defined in the </w:t>
      </w:r>
      <w:r w:rsidRPr="009612C3">
        <w:rPr>
          <w:rFonts w:ascii="Public Sans" w:hAnsi="Public Sans"/>
          <w:i/>
          <w:sz w:val="18"/>
        </w:rPr>
        <w:t>Disability Inclusion Act 2014</w:t>
      </w:r>
      <w:r>
        <w:rPr>
          <w:rFonts w:ascii="Public Sans" w:hAnsi="Public Sans"/>
          <w:sz w:val="18"/>
        </w:rPr>
        <w:t>.</w:t>
      </w:r>
    </w:p>
  </w:footnote>
  <w:footnote w:id="3">
    <w:p w:rsidR="00A115F0" w:rsidRPr="008264C8" w:rsidRDefault="00A115F0" w:rsidP="00C058C9">
      <w:pPr>
        <w:pStyle w:val="FootnoteText"/>
        <w:spacing w:after="0" w:line="240" w:lineRule="auto"/>
        <w:rPr>
          <w:rFonts w:ascii="Public Sans" w:hAnsi="Public Sans"/>
        </w:rPr>
      </w:pPr>
      <w:r w:rsidRPr="008264C8">
        <w:rPr>
          <w:rStyle w:val="FootnoteReference"/>
          <w:rFonts w:ascii="Public Sans" w:hAnsi="Public Sans"/>
          <w:sz w:val="18"/>
        </w:rPr>
        <w:footnoteRef/>
      </w:r>
      <w:r w:rsidRPr="008264C8">
        <w:rPr>
          <w:rFonts w:ascii="Public Sans" w:hAnsi="Public Sans"/>
          <w:sz w:val="18"/>
        </w:rPr>
        <w:t xml:space="preserve"> For the purposes of our analysis, </w:t>
      </w:r>
      <w:r>
        <w:rPr>
          <w:rFonts w:ascii="Public Sans" w:hAnsi="Public Sans"/>
          <w:sz w:val="18"/>
        </w:rPr>
        <w:t>‘</w:t>
      </w:r>
      <w:r w:rsidRPr="008264C8">
        <w:rPr>
          <w:rFonts w:ascii="Public Sans" w:hAnsi="Public Sans"/>
          <w:sz w:val="18"/>
        </w:rPr>
        <w:t>relatives</w:t>
      </w:r>
      <w:r>
        <w:rPr>
          <w:rFonts w:ascii="Public Sans" w:hAnsi="Public Sans"/>
          <w:sz w:val="18"/>
        </w:rPr>
        <w:t>’</w:t>
      </w:r>
      <w:r w:rsidRPr="008264C8">
        <w:rPr>
          <w:rFonts w:ascii="Public Sans" w:hAnsi="Public Sans"/>
          <w:sz w:val="18"/>
        </w:rPr>
        <w:t xml:space="preserve"> does not include </w:t>
      </w:r>
      <w:r>
        <w:rPr>
          <w:rFonts w:ascii="Public Sans" w:hAnsi="Public Sans"/>
          <w:sz w:val="18"/>
        </w:rPr>
        <w:t xml:space="preserve">the adult’s </w:t>
      </w:r>
      <w:r w:rsidRPr="008264C8">
        <w:rPr>
          <w:rFonts w:ascii="Public Sans" w:hAnsi="Public Sans"/>
          <w:sz w:val="18"/>
        </w:rPr>
        <w:t>spouse/partner or ex-spouse/partner</w:t>
      </w:r>
      <w:r>
        <w:rPr>
          <w:rFonts w:ascii="Public Sans" w:hAnsi="Public Sans"/>
          <w:sz w:val="18"/>
        </w:rPr>
        <w:t>.</w:t>
      </w:r>
    </w:p>
  </w:footnote>
  <w:footnote w:id="4">
    <w:p w:rsidR="00A115F0" w:rsidRDefault="00A115F0" w:rsidP="00A43CC0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8264C8">
        <w:rPr>
          <w:rFonts w:ascii="Public Sans" w:hAnsi="Public Sans"/>
          <w:sz w:val="18"/>
        </w:rPr>
        <w:t xml:space="preserve">For the purposes of our analysis, </w:t>
      </w:r>
      <w:r>
        <w:rPr>
          <w:rFonts w:ascii="Public Sans" w:hAnsi="Public Sans"/>
          <w:sz w:val="18"/>
        </w:rPr>
        <w:t>‘</w:t>
      </w:r>
      <w:r w:rsidRPr="008264C8">
        <w:rPr>
          <w:rFonts w:ascii="Public Sans" w:hAnsi="Public Sans"/>
          <w:sz w:val="18"/>
        </w:rPr>
        <w:t>relatives</w:t>
      </w:r>
      <w:r>
        <w:rPr>
          <w:rFonts w:ascii="Public Sans" w:hAnsi="Public Sans"/>
          <w:sz w:val="18"/>
        </w:rPr>
        <w:t>’</w:t>
      </w:r>
      <w:r w:rsidRPr="008264C8">
        <w:rPr>
          <w:rFonts w:ascii="Public Sans" w:hAnsi="Public Sans"/>
          <w:sz w:val="18"/>
        </w:rPr>
        <w:t xml:space="preserve"> does not include </w:t>
      </w:r>
      <w:r>
        <w:rPr>
          <w:rFonts w:ascii="Public Sans" w:hAnsi="Public Sans"/>
          <w:sz w:val="18"/>
        </w:rPr>
        <w:t xml:space="preserve">the adult’s </w:t>
      </w:r>
      <w:r w:rsidRPr="008264C8">
        <w:rPr>
          <w:rFonts w:ascii="Public Sans" w:hAnsi="Public Sans"/>
          <w:sz w:val="18"/>
        </w:rPr>
        <w:t>spouse/partner or ex-spouse/partner</w:t>
      </w:r>
      <w:r>
        <w:rPr>
          <w:rFonts w:ascii="Public Sans" w:hAnsi="Public Sans"/>
          <w:sz w:val="18"/>
        </w:rPr>
        <w:t>.</w:t>
      </w:r>
    </w:p>
  </w:footnote>
  <w:footnote w:id="5">
    <w:p w:rsidR="00A115F0" w:rsidRPr="00771917" w:rsidRDefault="00A115F0" w:rsidP="00A115F0">
      <w:pPr>
        <w:pStyle w:val="FootnoteText"/>
        <w:spacing w:after="0" w:line="240" w:lineRule="auto"/>
        <w:rPr>
          <w:rFonts w:ascii="Public Sans" w:hAnsi="Public Sans" w:cs="Segoe UI"/>
        </w:rPr>
      </w:pPr>
      <w:r w:rsidRPr="00771917">
        <w:rPr>
          <w:rStyle w:val="FootnoteReference"/>
          <w:rFonts w:ascii="Public Sans" w:hAnsi="Public Sans" w:cs="Segoe UI"/>
          <w:sz w:val="18"/>
        </w:rPr>
        <w:footnoteRef/>
      </w:r>
      <w:r w:rsidRPr="00771917">
        <w:rPr>
          <w:rFonts w:ascii="Public Sans" w:hAnsi="Public Sans" w:cs="Segoe UI"/>
          <w:sz w:val="18"/>
        </w:rPr>
        <w:t xml:space="preserve"> The data captures all matters in which that type of abuse has been reported; in the majority of matters, more than one type of abuse is reported. </w:t>
      </w:r>
    </w:p>
  </w:footnote>
  <w:footnote w:id="6">
    <w:p w:rsidR="009849B4" w:rsidRPr="00771917" w:rsidRDefault="009849B4" w:rsidP="009849B4">
      <w:pPr>
        <w:pStyle w:val="FootnoteText"/>
        <w:spacing w:after="0" w:line="240" w:lineRule="auto"/>
        <w:rPr>
          <w:rFonts w:ascii="Public Sans" w:hAnsi="Public Sans" w:cs="Segoe UI"/>
        </w:rPr>
      </w:pPr>
      <w:r w:rsidRPr="00771917">
        <w:rPr>
          <w:rStyle w:val="FootnoteReference"/>
          <w:rFonts w:ascii="Public Sans" w:hAnsi="Public Sans" w:cs="Segoe UI"/>
          <w:sz w:val="18"/>
        </w:rPr>
        <w:footnoteRef/>
      </w:r>
      <w:r w:rsidRPr="00771917">
        <w:rPr>
          <w:rFonts w:ascii="Public Sans" w:hAnsi="Public Sans" w:cs="Segoe UI"/>
          <w:sz w:val="18"/>
        </w:rPr>
        <w:t xml:space="preserve"> The data captures all matters in which that type of abuse has been reported; in the majority of matters, more than one type of abuse is reported. </w:t>
      </w:r>
    </w:p>
  </w:footnote>
  <w:footnote w:id="7">
    <w:p w:rsidR="008B7F94" w:rsidRPr="004F49CC" w:rsidRDefault="008B7F94" w:rsidP="008B7F94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4F49CC">
        <w:rPr>
          <w:rStyle w:val="FootnoteReference"/>
          <w:rFonts w:ascii="Public Sans" w:hAnsi="Public Sans"/>
          <w:sz w:val="18"/>
        </w:rPr>
        <w:footnoteRef/>
      </w:r>
      <w:r w:rsidRPr="004F49CC">
        <w:rPr>
          <w:rFonts w:ascii="Public Sans" w:hAnsi="Public Sans"/>
          <w:sz w:val="18"/>
        </w:rPr>
        <w:t xml:space="preserve"> There can be multiple outcomes for an individual.</w:t>
      </w:r>
    </w:p>
  </w:footnote>
  <w:footnote w:id="8">
    <w:p w:rsidR="008B7F94" w:rsidRDefault="008B7F94" w:rsidP="008B7F94">
      <w:pPr>
        <w:pStyle w:val="FootnoteText"/>
        <w:spacing w:after="0" w:line="240" w:lineRule="auto"/>
      </w:pPr>
      <w:r w:rsidRPr="004F49CC">
        <w:rPr>
          <w:rStyle w:val="FootnoteReference"/>
          <w:rFonts w:ascii="Public Sans" w:hAnsi="Public Sans"/>
          <w:sz w:val="18"/>
        </w:rPr>
        <w:footnoteRef/>
      </w:r>
      <w:r w:rsidRPr="004F49CC">
        <w:rPr>
          <w:rFonts w:ascii="Public Sans" w:hAnsi="Public Sans"/>
          <w:sz w:val="18"/>
        </w:rPr>
        <w:t xml:space="preserve"> There can be multiple outcomes in relation to an individual.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415" w:rsidRDefault="00660415" w:rsidP="0066041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11E58204" wp14:editId="2CB98D86">
          <wp:simplePos x="0" y="0"/>
          <wp:positionH relativeFrom="page">
            <wp:posOffset>-635</wp:posOffset>
          </wp:positionH>
          <wp:positionV relativeFrom="page">
            <wp:posOffset>11430</wp:posOffset>
          </wp:positionV>
          <wp:extent cx="7541895" cy="1292225"/>
          <wp:effectExtent l="0" t="0" r="1905" b="3175"/>
          <wp:wrapTopAndBottom/>
          <wp:docPr id="30" name="Picture 30" descr="Ageing and Disability Commission Logo | 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geing and Disability Commission Logo | NSW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29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17A5D"/>
    <w:multiLevelType w:val="hybridMultilevel"/>
    <w:tmpl w:val="17B01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91C37"/>
    <w:multiLevelType w:val="multilevel"/>
    <w:tmpl w:val="B30E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A0603C6"/>
    <w:multiLevelType w:val="hybridMultilevel"/>
    <w:tmpl w:val="C5CA7B9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076B01"/>
    <w:multiLevelType w:val="hybridMultilevel"/>
    <w:tmpl w:val="C51C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E"/>
    <w:rsid w:val="000133F6"/>
    <w:rsid w:val="00024C13"/>
    <w:rsid w:val="0003075E"/>
    <w:rsid w:val="000374DC"/>
    <w:rsid w:val="000829DC"/>
    <w:rsid w:val="000A4674"/>
    <w:rsid w:val="000B14CF"/>
    <w:rsid w:val="000C0B39"/>
    <w:rsid w:val="000C7110"/>
    <w:rsid w:val="000F5501"/>
    <w:rsid w:val="00105081"/>
    <w:rsid w:val="00145909"/>
    <w:rsid w:val="001A06D8"/>
    <w:rsid w:val="001C127A"/>
    <w:rsid w:val="001C7AAC"/>
    <w:rsid w:val="002366DA"/>
    <w:rsid w:val="002A42A3"/>
    <w:rsid w:val="002B5A28"/>
    <w:rsid w:val="002E333E"/>
    <w:rsid w:val="002F075B"/>
    <w:rsid w:val="003279DD"/>
    <w:rsid w:val="00347F6C"/>
    <w:rsid w:val="00370A47"/>
    <w:rsid w:val="00371379"/>
    <w:rsid w:val="00386C77"/>
    <w:rsid w:val="0039232F"/>
    <w:rsid w:val="003C76AD"/>
    <w:rsid w:val="004036EE"/>
    <w:rsid w:val="00406840"/>
    <w:rsid w:val="00414DE0"/>
    <w:rsid w:val="00415A30"/>
    <w:rsid w:val="00423B08"/>
    <w:rsid w:val="00441FC3"/>
    <w:rsid w:val="004440DE"/>
    <w:rsid w:val="00444A61"/>
    <w:rsid w:val="0047462B"/>
    <w:rsid w:val="00482D10"/>
    <w:rsid w:val="004D5EAC"/>
    <w:rsid w:val="004F4505"/>
    <w:rsid w:val="00501C15"/>
    <w:rsid w:val="00514977"/>
    <w:rsid w:val="005478F6"/>
    <w:rsid w:val="005565AE"/>
    <w:rsid w:val="00580778"/>
    <w:rsid w:val="0059270A"/>
    <w:rsid w:val="005A1F97"/>
    <w:rsid w:val="005B1133"/>
    <w:rsid w:val="005B1698"/>
    <w:rsid w:val="005E44CE"/>
    <w:rsid w:val="005F20CD"/>
    <w:rsid w:val="006153B1"/>
    <w:rsid w:val="00642DCF"/>
    <w:rsid w:val="00660415"/>
    <w:rsid w:val="0066676B"/>
    <w:rsid w:val="006A2C88"/>
    <w:rsid w:val="006B0530"/>
    <w:rsid w:val="006C7EDF"/>
    <w:rsid w:val="006E14DE"/>
    <w:rsid w:val="006F791E"/>
    <w:rsid w:val="00702777"/>
    <w:rsid w:val="00704568"/>
    <w:rsid w:val="00711607"/>
    <w:rsid w:val="00730425"/>
    <w:rsid w:val="00754372"/>
    <w:rsid w:val="007727CB"/>
    <w:rsid w:val="00787364"/>
    <w:rsid w:val="00793814"/>
    <w:rsid w:val="007B760C"/>
    <w:rsid w:val="007D48EA"/>
    <w:rsid w:val="007E0AEF"/>
    <w:rsid w:val="007F2595"/>
    <w:rsid w:val="00822247"/>
    <w:rsid w:val="00825F29"/>
    <w:rsid w:val="0086785E"/>
    <w:rsid w:val="00886467"/>
    <w:rsid w:val="008A1CF3"/>
    <w:rsid w:val="008A5978"/>
    <w:rsid w:val="008A7544"/>
    <w:rsid w:val="008B7F94"/>
    <w:rsid w:val="008D386C"/>
    <w:rsid w:val="008E0683"/>
    <w:rsid w:val="00904533"/>
    <w:rsid w:val="00915F82"/>
    <w:rsid w:val="00946C75"/>
    <w:rsid w:val="009527B5"/>
    <w:rsid w:val="0096005C"/>
    <w:rsid w:val="00973B2A"/>
    <w:rsid w:val="009849B4"/>
    <w:rsid w:val="009C351E"/>
    <w:rsid w:val="009E104B"/>
    <w:rsid w:val="009E5A08"/>
    <w:rsid w:val="009E636E"/>
    <w:rsid w:val="00A0743E"/>
    <w:rsid w:val="00A07A54"/>
    <w:rsid w:val="00A07F19"/>
    <w:rsid w:val="00A115F0"/>
    <w:rsid w:val="00A17409"/>
    <w:rsid w:val="00A43CC0"/>
    <w:rsid w:val="00A6053B"/>
    <w:rsid w:val="00A83384"/>
    <w:rsid w:val="00AD6ACE"/>
    <w:rsid w:val="00AF593D"/>
    <w:rsid w:val="00B142B8"/>
    <w:rsid w:val="00B25BE9"/>
    <w:rsid w:val="00B33390"/>
    <w:rsid w:val="00B56564"/>
    <w:rsid w:val="00B56845"/>
    <w:rsid w:val="00B656AE"/>
    <w:rsid w:val="00BB6EE1"/>
    <w:rsid w:val="00C058C9"/>
    <w:rsid w:val="00C60D7C"/>
    <w:rsid w:val="00C73D51"/>
    <w:rsid w:val="00C811E2"/>
    <w:rsid w:val="00C8380B"/>
    <w:rsid w:val="00CC671B"/>
    <w:rsid w:val="00CD0735"/>
    <w:rsid w:val="00CF0AD1"/>
    <w:rsid w:val="00D25A61"/>
    <w:rsid w:val="00D50717"/>
    <w:rsid w:val="00D51316"/>
    <w:rsid w:val="00D51880"/>
    <w:rsid w:val="00D84C76"/>
    <w:rsid w:val="00DA2A00"/>
    <w:rsid w:val="00DB4E84"/>
    <w:rsid w:val="00DD013C"/>
    <w:rsid w:val="00E01CE2"/>
    <w:rsid w:val="00E07B8F"/>
    <w:rsid w:val="00E07D27"/>
    <w:rsid w:val="00E104BE"/>
    <w:rsid w:val="00E14C6E"/>
    <w:rsid w:val="00E26563"/>
    <w:rsid w:val="00E306A5"/>
    <w:rsid w:val="00E90493"/>
    <w:rsid w:val="00E94EF8"/>
    <w:rsid w:val="00EA12D6"/>
    <w:rsid w:val="00EB4B85"/>
    <w:rsid w:val="00EE6D14"/>
    <w:rsid w:val="00F036F2"/>
    <w:rsid w:val="00F1241C"/>
    <w:rsid w:val="00F3604E"/>
    <w:rsid w:val="00F47CCE"/>
    <w:rsid w:val="00F50E9D"/>
    <w:rsid w:val="00F6138B"/>
    <w:rsid w:val="00F66AE5"/>
    <w:rsid w:val="00F7237C"/>
    <w:rsid w:val="00F813E7"/>
    <w:rsid w:val="00FC4617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18D6"/>
  <w15:chartTrackingRefBased/>
  <w15:docId w15:val="{379FF3CB-C12A-4DF8-90CB-4EF359E5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4B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04B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104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04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Body">
    <w:name w:val="Body"/>
    <w:rsid w:val="00E104B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paragraph" w:styleId="NoSpacing">
    <w:name w:val="No Spacing"/>
    <w:uiPriority w:val="1"/>
    <w:qFormat/>
    <w:rsid w:val="00E104BE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6B0530"/>
    <w:pPr>
      <w:spacing w:after="160" w:line="259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53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B05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0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15"/>
  </w:style>
  <w:style w:type="paragraph" w:styleId="Footer">
    <w:name w:val="footer"/>
    <w:basedOn w:val="Normal"/>
    <w:link w:val="FooterChar"/>
    <w:uiPriority w:val="99"/>
    <w:unhideWhenUsed/>
    <w:rsid w:val="00660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ADC%20data%20Q2%202022%20-%202023%20for%20dashboar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Location%20data%202020%20-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LGA%20OP%202020%20-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zlink\dhs\FACS\NON-FACS\MCKENZIK.BIZLINK\Desktop\LGA%20AWD%202020%20-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Calls!$B$29:$D$29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Calls!$B$30:$D$30</c:f>
              <c:numCache>
                <c:formatCode>#,##0</c:formatCode>
                <c:ptCount val="3"/>
                <c:pt idx="0">
                  <c:v>11975</c:v>
                </c:pt>
                <c:pt idx="1">
                  <c:v>12617</c:v>
                </c:pt>
                <c:pt idx="2">
                  <c:v>13624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B-4768-B813-4F24719163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7733896"/>
        <c:axId val="477727664"/>
      </c:barChart>
      <c:catAx>
        <c:axId val="477733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7727664"/>
        <c:crosses val="autoZero"/>
        <c:auto val="1"/>
        <c:lblAlgn val="ctr"/>
        <c:lblOffset val="100"/>
        <c:noMultiLvlLbl val="0"/>
      </c:catAx>
      <c:valAx>
        <c:axId val="47772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7733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'Reporter relationship'!$P$22:$P$35</c:f>
              <c:strCache>
                <c:ptCount val="14"/>
                <c:pt idx="0">
                  <c:v>Primary Carer</c:v>
                </c:pt>
                <c:pt idx="1">
                  <c:v>Parent</c:v>
                </c:pt>
                <c:pt idx="2">
                  <c:v>Advocate</c:v>
                </c:pt>
                <c:pt idx="3">
                  <c:v>Unknown or Not Disclosed</c:v>
                </c:pt>
                <c:pt idx="4">
                  <c:v>Spouse or Partner</c:v>
                </c:pt>
                <c:pt idx="5">
                  <c:v>Sibling</c:v>
                </c:pt>
                <c:pt idx="6">
                  <c:v>Other</c:v>
                </c:pt>
                <c:pt idx="7">
                  <c:v>Grandchild</c:v>
                </c:pt>
                <c:pt idx="8">
                  <c:v>Neighbour</c:v>
                </c:pt>
                <c:pt idx="9">
                  <c:v>Friend</c:v>
                </c:pt>
                <c:pt idx="10">
                  <c:v>Other Relative</c:v>
                </c:pt>
                <c:pt idx="11">
                  <c:v>Person Experiencing Abuse</c:v>
                </c:pt>
                <c:pt idx="12">
                  <c:v>Paid Worker</c:v>
                </c:pt>
                <c:pt idx="13">
                  <c:v>Child</c:v>
                </c:pt>
              </c:strCache>
            </c:strRef>
          </c:cat>
          <c:val>
            <c:numRef>
              <c:f>'Reporter relationship'!$Q$22:$Q$35</c:f>
              <c:numCache>
                <c:formatCode>General</c:formatCode>
                <c:ptCount val="14"/>
                <c:pt idx="0">
                  <c:v>3</c:v>
                </c:pt>
                <c:pt idx="1">
                  <c:v>15</c:v>
                </c:pt>
                <c:pt idx="2">
                  <c:v>29</c:v>
                </c:pt>
                <c:pt idx="3">
                  <c:v>76</c:v>
                </c:pt>
                <c:pt idx="4">
                  <c:v>106</c:v>
                </c:pt>
                <c:pt idx="5">
                  <c:v>170</c:v>
                </c:pt>
                <c:pt idx="6">
                  <c:v>228</c:v>
                </c:pt>
                <c:pt idx="7">
                  <c:v>320</c:v>
                </c:pt>
                <c:pt idx="8">
                  <c:v>357</c:v>
                </c:pt>
                <c:pt idx="9">
                  <c:v>498</c:v>
                </c:pt>
                <c:pt idx="10">
                  <c:v>530</c:v>
                </c:pt>
                <c:pt idx="11">
                  <c:v>1316</c:v>
                </c:pt>
                <c:pt idx="12">
                  <c:v>2394</c:v>
                </c:pt>
                <c:pt idx="13">
                  <c:v>2420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46-4AEE-B4AC-E17421633F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57653816"/>
        <c:axId val="657656112"/>
      </c:barChart>
      <c:catAx>
        <c:axId val="657653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57656112"/>
        <c:crosses val="autoZero"/>
        <c:auto val="1"/>
        <c:lblAlgn val="ctr"/>
        <c:lblOffset val="100"/>
        <c:noMultiLvlLbl val="0"/>
      </c:catAx>
      <c:valAx>
        <c:axId val="657656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57653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'Reporter relationship'!$P$5:$P$18</c:f>
              <c:strCache>
                <c:ptCount val="14"/>
                <c:pt idx="0">
                  <c:v>Grandchild</c:v>
                </c:pt>
                <c:pt idx="1">
                  <c:v>Primary Carer</c:v>
                </c:pt>
                <c:pt idx="2">
                  <c:v>Spouse or Partner</c:v>
                </c:pt>
                <c:pt idx="3">
                  <c:v>Advocate</c:v>
                </c:pt>
                <c:pt idx="4">
                  <c:v>Unknown or Not Disclosed</c:v>
                </c:pt>
                <c:pt idx="5">
                  <c:v>Child</c:v>
                </c:pt>
                <c:pt idx="6">
                  <c:v>Neighbour</c:v>
                </c:pt>
                <c:pt idx="7">
                  <c:v>Friend</c:v>
                </c:pt>
                <c:pt idx="8">
                  <c:v>Other Relative</c:v>
                </c:pt>
                <c:pt idx="9">
                  <c:v>Sibling</c:v>
                </c:pt>
                <c:pt idx="10">
                  <c:v>Parent</c:v>
                </c:pt>
                <c:pt idx="11">
                  <c:v>Other</c:v>
                </c:pt>
                <c:pt idx="12">
                  <c:v>Person Experiencing Abuse</c:v>
                </c:pt>
                <c:pt idx="13">
                  <c:v>Paid Worker</c:v>
                </c:pt>
              </c:strCache>
            </c:strRef>
          </c:cat>
          <c:val>
            <c:numRef>
              <c:f>'Reporter relationship'!$Q$5:$Q$18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19</c:v>
                </c:pt>
                <c:pt idx="3">
                  <c:v>26</c:v>
                </c:pt>
                <c:pt idx="4">
                  <c:v>41</c:v>
                </c:pt>
                <c:pt idx="5">
                  <c:v>44</c:v>
                </c:pt>
                <c:pt idx="6">
                  <c:v>44</c:v>
                </c:pt>
                <c:pt idx="7">
                  <c:v>64</c:v>
                </c:pt>
                <c:pt idx="8">
                  <c:v>82</c:v>
                </c:pt>
                <c:pt idx="9">
                  <c:v>84</c:v>
                </c:pt>
                <c:pt idx="10">
                  <c:v>103</c:v>
                </c:pt>
                <c:pt idx="11">
                  <c:v>144</c:v>
                </c:pt>
                <c:pt idx="12">
                  <c:v>312</c:v>
                </c:pt>
                <c:pt idx="13">
                  <c:v>1535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F-45E2-A0A3-2F2B64C1E6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58688904"/>
        <c:axId val="658690872"/>
      </c:barChart>
      <c:catAx>
        <c:axId val="658688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58690872"/>
        <c:crosses val="autoZero"/>
        <c:auto val="1"/>
        <c:lblAlgn val="ctr"/>
        <c:lblOffset val="100"/>
        <c:noMultiLvlLbl val="0"/>
      </c:catAx>
      <c:valAx>
        <c:axId val="658690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58688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'PSOA relationship'!$A$65:$A$80</c:f>
              <c:strCache>
                <c:ptCount val="16"/>
                <c:pt idx="0">
                  <c:v>Grandparent</c:v>
                </c:pt>
                <c:pt idx="1">
                  <c:v>Ex-foster carer</c:v>
                </c:pt>
                <c:pt idx="2">
                  <c:v>Parent</c:v>
                </c:pt>
                <c:pt idx="3">
                  <c:v>Former paid staff</c:v>
                </c:pt>
                <c:pt idx="4">
                  <c:v>Ex-spouse/partner</c:v>
                </c:pt>
                <c:pt idx="5">
                  <c:v>Other community member</c:v>
                </c:pt>
                <c:pt idx="6">
                  <c:v>Unknown/not disclosed</c:v>
                </c:pt>
                <c:pt idx="7">
                  <c:v>Sibling</c:v>
                </c:pt>
                <c:pt idx="8">
                  <c:v>Grandchild</c:v>
                </c:pt>
                <c:pt idx="9">
                  <c:v>Other relative</c:v>
                </c:pt>
                <c:pt idx="10">
                  <c:v>Other</c:v>
                </c:pt>
                <c:pt idx="11">
                  <c:v>Neighbour</c:v>
                </c:pt>
                <c:pt idx="12">
                  <c:v>Friend</c:v>
                </c:pt>
                <c:pt idx="13">
                  <c:v>Paid staff</c:v>
                </c:pt>
                <c:pt idx="14">
                  <c:v>Spouse/partner</c:v>
                </c:pt>
                <c:pt idx="15">
                  <c:v>Child</c:v>
                </c:pt>
              </c:strCache>
            </c:strRef>
          </c:cat>
          <c:val>
            <c:numRef>
              <c:f>'PSOA relationship'!$B$65:$B$80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11</c:v>
                </c:pt>
                <c:pt idx="3">
                  <c:v>53</c:v>
                </c:pt>
                <c:pt idx="4">
                  <c:v>90</c:v>
                </c:pt>
                <c:pt idx="5">
                  <c:v>155</c:v>
                </c:pt>
                <c:pt idx="6">
                  <c:v>173</c:v>
                </c:pt>
                <c:pt idx="7">
                  <c:v>215</c:v>
                </c:pt>
                <c:pt idx="8">
                  <c:v>265</c:v>
                </c:pt>
                <c:pt idx="9">
                  <c:v>282</c:v>
                </c:pt>
                <c:pt idx="10">
                  <c:v>289</c:v>
                </c:pt>
                <c:pt idx="11">
                  <c:v>362</c:v>
                </c:pt>
                <c:pt idx="12">
                  <c:v>450</c:v>
                </c:pt>
                <c:pt idx="13">
                  <c:v>636</c:v>
                </c:pt>
                <c:pt idx="14">
                  <c:v>999</c:v>
                </c:pt>
                <c:pt idx="15">
                  <c:v>4479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0E-4F9A-8BB0-72EB2C080A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32883552"/>
        <c:axId val="232885192"/>
      </c:barChart>
      <c:catAx>
        <c:axId val="232883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32885192"/>
        <c:crosses val="autoZero"/>
        <c:auto val="1"/>
        <c:lblAlgn val="ctr"/>
        <c:lblOffset val="100"/>
        <c:noMultiLvlLbl val="0"/>
      </c:catAx>
      <c:valAx>
        <c:axId val="232885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3288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'PSOA relationship'!$A$44:$A$59</c:f>
              <c:strCache>
                <c:ptCount val="16"/>
                <c:pt idx="0">
                  <c:v>Grandchild</c:v>
                </c:pt>
                <c:pt idx="1">
                  <c:v>Ex-foster carer</c:v>
                </c:pt>
                <c:pt idx="2">
                  <c:v>Grandparent</c:v>
                </c:pt>
                <c:pt idx="3">
                  <c:v>Former paid staff</c:v>
                </c:pt>
                <c:pt idx="4">
                  <c:v>Other community member</c:v>
                </c:pt>
                <c:pt idx="5">
                  <c:v>Ex-spouse/de facto</c:v>
                </c:pt>
                <c:pt idx="6">
                  <c:v>Neighbour</c:v>
                </c:pt>
                <c:pt idx="7">
                  <c:v>Unknown/not disclosed</c:v>
                </c:pt>
                <c:pt idx="8">
                  <c:v>Other relative</c:v>
                </c:pt>
                <c:pt idx="9">
                  <c:v>Other</c:v>
                </c:pt>
                <c:pt idx="10">
                  <c:v>Friend</c:v>
                </c:pt>
                <c:pt idx="11">
                  <c:v>Child</c:v>
                </c:pt>
                <c:pt idx="12">
                  <c:v>Spouse/partner</c:v>
                </c:pt>
                <c:pt idx="13">
                  <c:v>Sibling</c:v>
                </c:pt>
                <c:pt idx="14">
                  <c:v>Paid staff</c:v>
                </c:pt>
                <c:pt idx="15">
                  <c:v>Parent</c:v>
                </c:pt>
              </c:strCache>
            </c:strRef>
          </c:cat>
          <c:val>
            <c:numRef>
              <c:f>'PSOA relationship'!$B$44:$B$59</c:f>
              <c:numCache>
                <c:formatCode>General</c:formatCode>
                <c:ptCount val="16"/>
                <c:pt idx="0">
                  <c:v>1</c:v>
                </c:pt>
                <c:pt idx="1">
                  <c:v>10</c:v>
                </c:pt>
                <c:pt idx="2">
                  <c:v>14</c:v>
                </c:pt>
                <c:pt idx="3">
                  <c:v>27</c:v>
                </c:pt>
                <c:pt idx="4">
                  <c:v>58</c:v>
                </c:pt>
                <c:pt idx="5">
                  <c:v>61</c:v>
                </c:pt>
                <c:pt idx="6">
                  <c:v>78</c:v>
                </c:pt>
                <c:pt idx="7">
                  <c:v>78</c:v>
                </c:pt>
                <c:pt idx="8">
                  <c:v>91</c:v>
                </c:pt>
                <c:pt idx="9">
                  <c:v>128</c:v>
                </c:pt>
                <c:pt idx="10">
                  <c:v>145</c:v>
                </c:pt>
                <c:pt idx="11">
                  <c:v>153</c:v>
                </c:pt>
                <c:pt idx="12">
                  <c:v>242</c:v>
                </c:pt>
                <c:pt idx="13">
                  <c:v>263</c:v>
                </c:pt>
                <c:pt idx="14">
                  <c:v>420</c:v>
                </c:pt>
                <c:pt idx="15">
                  <c:v>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E5-4516-9BD5-93C4A0C102D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78006808"/>
        <c:axId val="478008120"/>
      </c:barChart>
      <c:catAx>
        <c:axId val="478006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8008120"/>
        <c:crosses val="autoZero"/>
        <c:auto val="1"/>
        <c:lblAlgn val="ctr"/>
        <c:lblOffset val="100"/>
        <c:noMultiLvlLbl val="0"/>
      </c:catAx>
      <c:valAx>
        <c:axId val="478008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8006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'Type of abuse'!$A$41:$A$46</c:f>
              <c:strCache>
                <c:ptCount val="6"/>
                <c:pt idx="0">
                  <c:v>Psychological </c:v>
                </c:pt>
                <c:pt idx="1">
                  <c:v>Financial </c:v>
                </c:pt>
                <c:pt idx="2">
                  <c:v>Neglect</c:v>
                </c:pt>
                <c:pt idx="3">
                  <c:v>Physical </c:v>
                </c:pt>
                <c:pt idx="4">
                  <c:v>Other</c:v>
                </c:pt>
                <c:pt idx="5">
                  <c:v>Sexual </c:v>
                </c:pt>
              </c:strCache>
            </c:strRef>
          </c:cat>
          <c:val>
            <c:numRef>
              <c:f>'Type of abuse'!$B$41:$B$46</c:f>
              <c:numCache>
                <c:formatCode>General</c:formatCode>
                <c:ptCount val="6"/>
                <c:pt idx="0">
                  <c:v>5132</c:v>
                </c:pt>
                <c:pt idx="1">
                  <c:v>3561</c:v>
                </c:pt>
                <c:pt idx="2">
                  <c:v>2682</c:v>
                </c:pt>
                <c:pt idx="3">
                  <c:v>1049</c:v>
                </c:pt>
                <c:pt idx="4">
                  <c:v>265</c:v>
                </c:pt>
                <c:pt idx="5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0D-4DCE-9D61-214423B6DCA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7369504"/>
        <c:axId val="767369832"/>
      </c:barChart>
      <c:catAx>
        <c:axId val="767369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7369832"/>
        <c:crosses val="autoZero"/>
        <c:auto val="1"/>
        <c:lblAlgn val="ctr"/>
        <c:lblOffset val="100"/>
        <c:noMultiLvlLbl val="0"/>
      </c:catAx>
      <c:valAx>
        <c:axId val="767369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67369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'Type of abuse'!$A$31:$A$36</c:f>
              <c:strCache>
                <c:ptCount val="6"/>
                <c:pt idx="0">
                  <c:v>Psychological </c:v>
                </c:pt>
                <c:pt idx="1">
                  <c:v>Neglect</c:v>
                </c:pt>
                <c:pt idx="2">
                  <c:v>Financial</c:v>
                </c:pt>
                <c:pt idx="3">
                  <c:v>Physical</c:v>
                </c:pt>
                <c:pt idx="4">
                  <c:v>Sexual</c:v>
                </c:pt>
                <c:pt idx="5">
                  <c:v>Other</c:v>
                </c:pt>
              </c:strCache>
            </c:strRef>
          </c:cat>
          <c:val>
            <c:numRef>
              <c:f>'Type of abuse'!$B$31:$B$36</c:f>
              <c:numCache>
                <c:formatCode>General</c:formatCode>
                <c:ptCount val="6"/>
                <c:pt idx="0">
                  <c:v>1420</c:v>
                </c:pt>
                <c:pt idx="1">
                  <c:v>1082</c:v>
                </c:pt>
                <c:pt idx="2">
                  <c:v>736</c:v>
                </c:pt>
                <c:pt idx="3">
                  <c:v>631</c:v>
                </c:pt>
                <c:pt idx="4">
                  <c:v>175</c:v>
                </c:pt>
                <c:pt idx="5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93-4EE5-ADE8-D25DF91671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77998608"/>
        <c:axId val="477999264"/>
      </c:barChart>
      <c:catAx>
        <c:axId val="477998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7999264"/>
        <c:crosses val="autoZero"/>
        <c:auto val="1"/>
        <c:lblAlgn val="ctr"/>
        <c:lblOffset val="100"/>
        <c:noMultiLvlLbl val="0"/>
      </c:catAx>
      <c:valAx>
        <c:axId val="477999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799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'Number of cases'!$C$31</c:f>
              <c:strCache>
                <c:ptCount val="1"/>
                <c:pt idx="0">
                  <c:v>Enquiries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'Number of cases'!$D$30:$G$30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'Number of cases'!$D$31:$G$31</c:f>
              <c:numCache>
                <c:formatCode>General</c:formatCode>
                <c:ptCount val="3"/>
                <c:pt idx="0">
                  <c:v>1421</c:v>
                </c:pt>
                <c:pt idx="1">
                  <c:v>1295</c:v>
                </c:pt>
                <c:pt idx="2">
                  <c:v>1329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0C-4AD8-937E-E0D9AFCCF075}"/>
            </c:ext>
          </c:extLst>
        </c:ser>
        <c:ser>
          <c:idx val="1"/>
          <c:order val="1"/>
          <c:tx>
            <c:strRef>
              <c:f>'Number of cases'!$C$32</c:f>
              <c:strCache>
                <c:ptCount val="1"/>
                <c:pt idx="0">
                  <c:v>Reports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'Number of cases'!$D$30:$G$30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'Number of cases'!$D$32:$G$32</c:f>
              <c:numCache>
                <c:formatCode>General</c:formatCode>
                <c:ptCount val="3"/>
                <c:pt idx="0">
                  <c:v>2965</c:v>
                </c:pt>
                <c:pt idx="1">
                  <c:v>3848</c:v>
                </c:pt>
                <c:pt idx="2">
                  <c:v>4150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0C-4AD8-937E-E0D9AFCCF07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54012256"/>
        <c:axId val="354016848"/>
      </c:barChart>
      <c:catAx>
        <c:axId val="35401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54016848"/>
        <c:crosses val="autoZero"/>
        <c:auto val="1"/>
        <c:lblAlgn val="ctr"/>
        <c:lblOffset val="100"/>
        <c:noMultiLvlLbl val="0"/>
      </c:catAx>
      <c:valAx>
        <c:axId val="35401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5401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Cohort!$F$21</c:f>
              <c:strCache>
                <c:ptCount val="1"/>
                <c:pt idx="0">
                  <c:v>Older people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Cohort!$G$20:$I$20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Cohort!$G$21:$I$21</c:f>
              <c:numCache>
                <c:formatCode>General</c:formatCode>
                <c:ptCount val="3"/>
                <c:pt idx="0">
                  <c:v>2299</c:v>
                </c:pt>
                <c:pt idx="1">
                  <c:v>2984</c:v>
                </c:pt>
                <c:pt idx="2">
                  <c:v>3179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E3-4C1E-9846-702F05A9132A}"/>
            </c:ext>
          </c:extLst>
        </c:ser>
        <c:ser>
          <c:idx val="1"/>
          <c:order val="1"/>
          <c:tx>
            <c:strRef>
              <c:f>Cohort!$F$22</c:f>
              <c:strCache>
                <c:ptCount val="1"/>
                <c:pt idx="0">
                  <c:v>Adults with disability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Cohort!$G$20:$I$20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Cohort!$G$22:$I$22</c:f>
              <c:numCache>
                <c:formatCode>General</c:formatCode>
                <c:ptCount val="3"/>
                <c:pt idx="0">
                  <c:v>666</c:v>
                </c:pt>
                <c:pt idx="1">
                  <c:v>864</c:v>
                </c:pt>
                <c:pt idx="2">
                  <c:v>971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E3-4C1E-9846-702F05A913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4198176"/>
        <c:axId val="474196208"/>
      </c:barChart>
      <c:catAx>
        <c:axId val="47419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4196208"/>
        <c:crosses val="autoZero"/>
        <c:auto val="1"/>
        <c:lblAlgn val="ctr"/>
        <c:lblOffset val="100"/>
        <c:noMultiLvlLbl val="0"/>
      </c:catAx>
      <c:valAx>
        <c:axId val="47419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7419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Gender!$H$25</c:f>
              <c:strCache>
                <c:ptCount val="1"/>
                <c:pt idx="0">
                  <c:v>Adults with disability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Gender!$G$26:$G$29</c:f>
              <c:strCache>
                <c:ptCount val="4"/>
                <c:pt idx="0">
                  <c:v>Female</c:v>
                </c:pt>
                <c:pt idx="1">
                  <c:v>Male</c:v>
                </c:pt>
                <c:pt idx="2">
                  <c:v>Other</c:v>
                </c:pt>
                <c:pt idx="3">
                  <c:v>Unknown</c:v>
                </c:pt>
              </c:strCache>
            </c:strRef>
          </c:cat>
          <c:val>
            <c:numRef>
              <c:f>Gender!$H$26:$H$29</c:f>
              <c:numCache>
                <c:formatCode>General</c:formatCode>
                <c:ptCount val="4"/>
                <c:pt idx="0">
                  <c:v>1361</c:v>
                </c:pt>
                <c:pt idx="1">
                  <c:v>1127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A-4F47-BD11-87C66CFCBCC7}"/>
            </c:ext>
          </c:extLst>
        </c:ser>
        <c:ser>
          <c:idx val="1"/>
          <c:order val="1"/>
          <c:tx>
            <c:strRef>
              <c:f>Gender!$I$25</c:f>
              <c:strCache>
                <c:ptCount val="1"/>
                <c:pt idx="0">
                  <c:v>Older people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Gender!$G$26:$G$29</c:f>
              <c:strCache>
                <c:ptCount val="4"/>
                <c:pt idx="0">
                  <c:v>Female</c:v>
                </c:pt>
                <c:pt idx="1">
                  <c:v>Male</c:v>
                </c:pt>
                <c:pt idx="2">
                  <c:v>Other</c:v>
                </c:pt>
                <c:pt idx="3">
                  <c:v>Unknown</c:v>
                </c:pt>
              </c:strCache>
            </c:strRef>
          </c:cat>
          <c:val>
            <c:numRef>
              <c:f>Gender!$I$26:$I$29</c:f>
              <c:numCache>
                <c:formatCode>General</c:formatCode>
                <c:ptCount val="4"/>
                <c:pt idx="0">
                  <c:v>5658</c:v>
                </c:pt>
                <c:pt idx="1">
                  <c:v>2789</c:v>
                </c:pt>
                <c:pt idx="2">
                  <c:v>1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A-4F47-BD11-87C66CFCBCC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15598664"/>
        <c:axId val="715604568"/>
      </c:barChart>
      <c:catAx>
        <c:axId val="715598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15604568"/>
        <c:crosses val="autoZero"/>
        <c:auto val="1"/>
        <c:lblAlgn val="ctr"/>
        <c:lblOffset val="100"/>
        <c:noMultiLvlLbl val="0"/>
      </c:catAx>
      <c:valAx>
        <c:axId val="715604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15598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Age!$O$20:$O$31</c:f>
              <c:strCache>
                <c:ptCount val="12"/>
                <c:pt idx="0">
                  <c:v>50-54</c:v>
                </c:pt>
                <c:pt idx="1">
                  <c:v>55-59</c:v>
                </c:pt>
                <c:pt idx="2">
                  <c:v>60-64</c:v>
                </c:pt>
                <c:pt idx="3">
                  <c:v>65-69</c:v>
                </c:pt>
                <c:pt idx="4">
                  <c:v>70-74</c:v>
                </c:pt>
                <c:pt idx="5">
                  <c:v>75-79</c:v>
                </c:pt>
                <c:pt idx="6">
                  <c:v>80-84</c:v>
                </c:pt>
                <c:pt idx="7">
                  <c:v>85-89</c:v>
                </c:pt>
                <c:pt idx="8">
                  <c:v>90-94</c:v>
                </c:pt>
                <c:pt idx="9">
                  <c:v>95-99</c:v>
                </c:pt>
                <c:pt idx="10">
                  <c:v>100+</c:v>
                </c:pt>
                <c:pt idx="11">
                  <c:v>Not known</c:v>
                </c:pt>
              </c:strCache>
            </c:strRef>
          </c:cat>
          <c:val>
            <c:numRef>
              <c:f>Age!$P$20:$P$31</c:f>
              <c:numCache>
                <c:formatCode>General</c:formatCode>
                <c:ptCount val="12"/>
                <c:pt idx="0">
                  <c:v>16</c:v>
                </c:pt>
                <c:pt idx="1">
                  <c:v>26</c:v>
                </c:pt>
                <c:pt idx="2">
                  <c:v>45</c:v>
                </c:pt>
                <c:pt idx="3">
                  <c:v>634</c:v>
                </c:pt>
                <c:pt idx="4">
                  <c:v>910</c:v>
                </c:pt>
                <c:pt idx="5">
                  <c:v>1186</c:v>
                </c:pt>
                <c:pt idx="6">
                  <c:v>1487</c:v>
                </c:pt>
                <c:pt idx="7">
                  <c:v>1267</c:v>
                </c:pt>
                <c:pt idx="8">
                  <c:v>939</c:v>
                </c:pt>
                <c:pt idx="9">
                  <c:v>306</c:v>
                </c:pt>
                <c:pt idx="10">
                  <c:v>58</c:v>
                </c:pt>
                <c:pt idx="11">
                  <c:v>1588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8A-4262-A3C1-770B07A2D71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5777264"/>
        <c:axId val="225775296"/>
      </c:barChart>
      <c:catAx>
        <c:axId val="22577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25775296"/>
        <c:crosses val="autoZero"/>
        <c:auto val="1"/>
        <c:lblAlgn val="ctr"/>
        <c:lblOffset val="100"/>
        <c:noMultiLvlLbl val="0"/>
      </c:catAx>
      <c:valAx>
        <c:axId val="22577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2577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Age!$O$4:$O$13</c:f>
              <c:strCache>
                <c:ptCount val="10"/>
                <c:pt idx="0">
                  <c:v>18-24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Not known</c:v>
                </c:pt>
              </c:strCache>
            </c:strRef>
          </c:cat>
          <c:val>
            <c:numRef>
              <c:f>Age!$P$4:$P$13</c:f>
              <c:numCache>
                <c:formatCode>General</c:formatCode>
                <c:ptCount val="10"/>
                <c:pt idx="0">
                  <c:v>457</c:v>
                </c:pt>
                <c:pt idx="1">
                  <c:v>220</c:v>
                </c:pt>
                <c:pt idx="2">
                  <c:v>143</c:v>
                </c:pt>
                <c:pt idx="3">
                  <c:v>134</c:v>
                </c:pt>
                <c:pt idx="4">
                  <c:v>158</c:v>
                </c:pt>
                <c:pt idx="5">
                  <c:v>163</c:v>
                </c:pt>
                <c:pt idx="6">
                  <c:v>198</c:v>
                </c:pt>
                <c:pt idx="7">
                  <c:v>248</c:v>
                </c:pt>
                <c:pt idx="8">
                  <c:v>305</c:v>
                </c:pt>
                <c:pt idx="9">
                  <c:v>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5-45DD-AD82-3192A4C2A61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61519656"/>
        <c:axId val="661519984"/>
      </c:barChart>
      <c:catAx>
        <c:axId val="661519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61519984"/>
        <c:crosses val="autoZero"/>
        <c:auto val="1"/>
        <c:lblAlgn val="ctr"/>
        <c:lblOffset val="100"/>
        <c:noMultiLvlLbl val="0"/>
      </c:catAx>
      <c:valAx>
        <c:axId val="66151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61519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Sheet3!$A$4:$A$19</c:f>
              <c:strCache>
                <c:ptCount val="16"/>
                <c:pt idx="0">
                  <c:v>Hunter</c:v>
                </c:pt>
                <c:pt idx="1">
                  <c:v>SW Sydney</c:v>
                </c:pt>
                <c:pt idx="2">
                  <c:v>SE Sydney</c:v>
                </c:pt>
                <c:pt idx="3">
                  <c:v>Illawarra-Shoalhaven</c:v>
                </c:pt>
                <c:pt idx="4">
                  <c:v>Northern Sydney</c:v>
                </c:pt>
                <c:pt idx="5">
                  <c:v>Nepean Blue Mtns</c:v>
                </c:pt>
                <c:pt idx="6">
                  <c:v>Central Coast</c:v>
                </c:pt>
                <c:pt idx="7">
                  <c:v>Western Sydney</c:v>
                </c:pt>
                <c:pt idx="8">
                  <c:v>Northern NSW</c:v>
                </c:pt>
                <c:pt idx="9">
                  <c:v>Sydney</c:v>
                </c:pt>
                <c:pt idx="10">
                  <c:v>Murrumbidgee</c:v>
                </c:pt>
                <c:pt idx="11">
                  <c:v>Western NSW</c:v>
                </c:pt>
                <c:pt idx="12">
                  <c:v>Mid North Coast</c:v>
                </c:pt>
                <c:pt idx="13">
                  <c:v>New England</c:v>
                </c:pt>
                <c:pt idx="14">
                  <c:v>Southern NSW</c:v>
                </c:pt>
                <c:pt idx="15">
                  <c:v>Far West</c:v>
                </c:pt>
              </c:strCache>
            </c:strRef>
          </c:cat>
          <c:val>
            <c:numRef>
              <c:f>Sheet3!$B$4:$B$19</c:f>
              <c:numCache>
                <c:formatCode>General</c:formatCode>
                <c:ptCount val="16"/>
                <c:pt idx="0">
                  <c:v>919</c:v>
                </c:pt>
                <c:pt idx="1">
                  <c:v>831</c:v>
                </c:pt>
                <c:pt idx="2">
                  <c:v>729</c:v>
                </c:pt>
                <c:pt idx="3">
                  <c:v>660</c:v>
                </c:pt>
                <c:pt idx="4">
                  <c:v>652</c:v>
                </c:pt>
                <c:pt idx="5">
                  <c:v>608</c:v>
                </c:pt>
                <c:pt idx="6">
                  <c:v>526</c:v>
                </c:pt>
                <c:pt idx="7">
                  <c:v>518</c:v>
                </c:pt>
                <c:pt idx="8">
                  <c:v>463</c:v>
                </c:pt>
                <c:pt idx="9">
                  <c:v>383</c:v>
                </c:pt>
                <c:pt idx="10">
                  <c:v>380</c:v>
                </c:pt>
                <c:pt idx="11">
                  <c:v>373</c:v>
                </c:pt>
                <c:pt idx="12">
                  <c:v>369</c:v>
                </c:pt>
                <c:pt idx="13">
                  <c:v>255</c:v>
                </c:pt>
                <c:pt idx="14">
                  <c:v>125</c:v>
                </c:pt>
                <c:pt idx="15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9-4ED7-BF52-0D9752833BB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40906928"/>
        <c:axId val="440907584"/>
      </c:barChart>
      <c:catAx>
        <c:axId val="440906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0907584"/>
        <c:crosses val="autoZero"/>
        <c:auto val="1"/>
        <c:lblAlgn val="ctr"/>
        <c:lblOffset val="100"/>
        <c:noMultiLvlLbl val="0"/>
      </c:catAx>
      <c:valAx>
        <c:axId val="440907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090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Sheet3!$A$4:$A$19</c:f>
              <c:strCache>
                <c:ptCount val="16"/>
                <c:pt idx="0">
                  <c:v>Hunter</c:v>
                </c:pt>
                <c:pt idx="1">
                  <c:v>SE Sydney</c:v>
                </c:pt>
                <c:pt idx="2">
                  <c:v>SW Sydney</c:v>
                </c:pt>
                <c:pt idx="3">
                  <c:v>Northern Sydney</c:v>
                </c:pt>
                <c:pt idx="4">
                  <c:v>Illawarra-Shoalhaven</c:v>
                </c:pt>
                <c:pt idx="5">
                  <c:v>Nepean Blue Mtns</c:v>
                </c:pt>
                <c:pt idx="6">
                  <c:v>Central Coast</c:v>
                </c:pt>
                <c:pt idx="7">
                  <c:v>Western Sydney</c:v>
                </c:pt>
                <c:pt idx="8">
                  <c:v>Northern NSW</c:v>
                </c:pt>
                <c:pt idx="9">
                  <c:v>Sydney</c:v>
                </c:pt>
                <c:pt idx="10">
                  <c:v>Murrumbidgee</c:v>
                </c:pt>
                <c:pt idx="11">
                  <c:v>Western NSW</c:v>
                </c:pt>
                <c:pt idx="12">
                  <c:v>Mid North Coast</c:v>
                </c:pt>
                <c:pt idx="13">
                  <c:v>New England</c:v>
                </c:pt>
                <c:pt idx="14">
                  <c:v>Southern NSW</c:v>
                </c:pt>
                <c:pt idx="15">
                  <c:v>Far West</c:v>
                </c:pt>
              </c:strCache>
            </c:strRef>
          </c:cat>
          <c:val>
            <c:numRef>
              <c:f>Sheet3!$B$4:$B$19</c:f>
              <c:numCache>
                <c:formatCode>General</c:formatCode>
                <c:ptCount val="16"/>
                <c:pt idx="0">
                  <c:v>664</c:v>
                </c:pt>
                <c:pt idx="1">
                  <c:v>585</c:v>
                </c:pt>
                <c:pt idx="2">
                  <c:v>574</c:v>
                </c:pt>
                <c:pt idx="3">
                  <c:v>532</c:v>
                </c:pt>
                <c:pt idx="4">
                  <c:v>499</c:v>
                </c:pt>
                <c:pt idx="5">
                  <c:v>441</c:v>
                </c:pt>
                <c:pt idx="6">
                  <c:v>411</c:v>
                </c:pt>
                <c:pt idx="7">
                  <c:v>382</c:v>
                </c:pt>
                <c:pt idx="8">
                  <c:v>357</c:v>
                </c:pt>
                <c:pt idx="9">
                  <c:v>297</c:v>
                </c:pt>
                <c:pt idx="10">
                  <c:v>295</c:v>
                </c:pt>
                <c:pt idx="11">
                  <c:v>289</c:v>
                </c:pt>
                <c:pt idx="12">
                  <c:v>279</c:v>
                </c:pt>
                <c:pt idx="13">
                  <c:v>199</c:v>
                </c:pt>
                <c:pt idx="14">
                  <c:v>85</c:v>
                </c:pt>
                <c:pt idx="15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C-42A7-A958-74BF4B1CE6A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9409288"/>
        <c:axId val="489411912"/>
      </c:barChart>
      <c:catAx>
        <c:axId val="489409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9411912"/>
        <c:crosses val="autoZero"/>
        <c:auto val="1"/>
        <c:lblAlgn val="ctr"/>
        <c:lblOffset val="100"/>
        <c:noMultiLvlLbl val="0"/>
      </c:catAx>
      <c:valAx>
        <c:axId val="489411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9409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Sheet3!$A$3:$A$18</c:f>
              <c:strCache>
                <c:ptCount val="16"/>
                <c:pt idx="0">
                  <c:v>SW Sydney</c:v>
                </c:pt>
                <c:pt idx="1">
                  <c:v>Hunter</c:v>
                </c:pt>
                <c:pt idx="2">
                  <c:v>Nepean Blue Mtns</c:v>
                </c:pt>
                <c:pt idx="3">
                  <c:v>Illawarra-Shoalhaven</c:v>
                </c:pt>
                <c:pt idx="4">
                  <c:v>SE Sydney</c:v>
                </c:pt>
                <c:pt idx="5">
                  <c:v>Western Sydney</c:v>
                </c:pt>
                <c:pt idx="6">
                  <c:v>Northern Sydney</c:v>
                </c:pt>
                <c:pt idx="7">
                  <c:v>Central Coast</c:v>
                </c:pt>
                <c:pt idx="8">
                  <c:v>Northern NSW</c:v>
                </c:pt>
                <c:pt idx="9">
                  <c:v>Mid North Coast</c:v>
                </c:pt>
                <c:pt idx="10">
                  <c:v>Sydney</c:v>
                </c:pt>
                <c:pt idx="11">
                  <c:v>Murrumbidgee</c:v>
                </c:pt>
                <c:pt idx="12">
                  <c:v>Western NSW</c:v>
                </c:pt>
                <c:pt idx="13">
                  <c:v>New England</c:v>
                </c:pt>
                <c:pt idx="14">
                  <c:v>Southern NSW</c:v>
                </c:pt>
                <c:pt idx="15">
                  <c:v>Far West</c:v>
                </c:pt>
              </c:strCache>
            </c:strRef>
          </c:cat>
          <c:val>
            <c:numRef>
              <c:f>Sheet3!$B$3:$B$18</c:f>
              <c:numCache>
                <c:formatCode>General</c:formatCode>
                <c:ptCount val="16"/>
                <c:pt idx="0">
                  <c:v>257</c:v>
                </c:pt>
                <c:pt idx="1">
                  <c:v>255</c:v>
                </c:pt>
                <c:pt idx="2">
                  <c:v>167</c:v>
                </c:pt>
                <c:pt idx="3">
                  <c:v>161</c:v>
                </c:pt>
                <c:pt idx="4">
                  <c:v>144</c:v>
                </c:pt>
                <c:pt idx="5">
                  <c:v>136</c:v>
                </c:pt>
                <c:pt idx="6">
                  <c:v>120</c:v>
                </c:pt>
                <c:pt idx="7">
                  <c:v>115</c:v>
                </c:pt>
                <c:pt idx="8">
                  <c:v>106</c:v>
                </c:pt>
                <c:pt idx="9">
                  <c:v>90</c:v>
                </c:pt>
                <c:pt idx="10">
                  <c:v>86</c:v>
                </c:pt>
                <c:pt idx="11">
                  <c:v>85</c:v>
                </c:pt>
                <c:pt idx="12">
                  <c:v>84</c:v>
                </c:pt>
                <c:pt idx="13">
                  <c:v>56</c:v>
                </c:pt>
                <c:pt idx="14">
                  <c:v>40</c:v>
                </c:pt>
                <c:pt idx="1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C9-451D-B7AF-2B9F8F6AA27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08179352"/>
        <c:axId val="708183616"/>
      </c:barChart>
      <c:catAx>
        <c:axId val="708179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08183616"/>
        <c:crosses val="autoZero"/>
        <c:auto val="1"/>
        <c:lblAlgn val="ctr"/>
        <c:lblOffset val="100"/>
        <c:noMultiLvlLbl val="0"/>
      </c:catAx>
      <c:valAx>
        <c:axId val="708183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08179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12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McKenzie</dc:creator>
  <cp:keywords/>
  <dc:description/>
  <cp:lastModifiedBy>Renee Kastanias</cp:lastModifiedBy>
  <cp:revision>90</cp:revision>
  <dcterms:created xsi:type="dcterms:W3CDTF">2023-01-26T06:31:00Z</dcterms:created>
  <dcterms:modified xsi:type="dcterms:W3CDTF">2023-05-31T03:43:00Z</dcterms:modified>
</cp:coreProperties>
</file>