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35" w:rsidRDefault="00494735" w:rsidP="00494735">
      <w:pPr>
        <w:spacing w:after="0" w:line="240" w:lineRule="auto"/>
        <w:rPr>
          <w:rFonts w:ascii="Public Sans" w:hAnsi="Public Sans" w:cs="Segoe UI"/>
          <w:bCs/>
        </w:rPr>
      </w:pPr>
      <w:bookmarkStart w:id="0" w:name="_GoBack"/>
      <w:bookmarkEnd w:id="0"/>
      <w:r>
        <w:rPr>
          <w:noProof/>
          <w:lang w:eastAsia="en-AU"/>
        </w:rPr>
        <w:drawing>
          <wp:anchor distT="0" distB="0" distL="114300" distR="114300" simplePos="0" relativeHeight="251659264" behindDoc="0" locked="1" layoutInCell="1" allowOverlap="1" wp14:anchorId="08C70172" wp14:editId="558F39BF">
            <wp:simplePos x="0" y="0"/>
            <wp:positionH relativeFrom="page">
              <wp:posOffset>8890</wp:posOffset>
            </wp:positionH>
            <wp:positionV relativeFrom="page">
              <wp:posOffset>-61595</wp:posOffset>
            </wp:positionV>
            <wp:extent cx="7600950" cy="1349375"/>
            <wp:effectExtent l="0" t="0" r="0" b="3175"/>
            <wp:wrapTopAndBottom/>
            <wp:docPr id="3" name="Picture 3" descr="Ageing and Disability Commission Logo |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ing and Disability Commission Logo | 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0950" cy="1349375"/>
                    </a:xfrm>
                    <a:prstGeom prst="rect">
                      <a:avLst/>
                    </a:prstGeom>
                  </pic:spPr>
                </pic:pic>
              </a:graphicData>
            </a:graphic>
            <wp14:sizeRelH relativeFrom="margin">
              <wp14:pctWidth>0</wp14:pctWidth>
            </wp14:sizeRelH>
            <wp14:sizeRelV relativeFrom="margin">
              <wp14:pctHeight>0</wp14:pctHeight>
            </wp14:sizeRelV>
          </wp:anchor>
        </w:drawing>
      </w:r>
    </w:p>
    <w:p w:rsidR="00B17E6B" w:rsidRDefault="00B17E6B" w:rsidP="00494735">
      <w:pPr>
        <w:spacing w:after="0" w:line="240" w:lineRule="auto"/>
        <w:rPr>
          <w:rFonts w:ascii="Public Sans" w:hAnsi="Public Sans" w:cs="Segoe UI"/>
          <w:bCs/>
          <w:highlight w:val="yellow"/>
        </w:rPr>
      </w:pPr>
    </w:p>
    <w:p w:rsidR="00494735" w:rsidRPr="00565EC0" w:rsidRDefault="003254E0" w:rsidP="00494735">
      <w:pPr>
        <w:spacing w:after="0" w:line="240" w:lineRule="auto"/>
        <w:rPr>
          <w:rFonts w:ascii="Public Sans" w:hAnsi="Public Sans"/>
          <w:sz w:val="20"/>
        </w:rPr>
      </w:pPr>
      <w:r w:rsidRPr="00081EEE">
        <w:rPr>
          <w:rFonts w:ascii="Public Sans" w:hAnsi="Public Sans" w:cs="Segoe UI"/>
          <w:bCs/>
        </w:rPr>
        <w:t>30</w:t>
      </w:r>
      <w:r w:rsidR="00662F9C">
        <w:rPr>
          <w:rFonts w:ascii="Public Sans" w:hAnsi="Public Sans" w:cs="Segoe UI"/>
          <w:bCs/>
        </w:rPr>
        <w:t xml:space="preserve"> March</w:t>
      </w:r>
      <w:r w:rsidR="00494735" w:rsidRPr="00565EC0">
        <w:rPr>
          <w:rFonts w:ascii="Public Sans" w:hAnsi="Public Sans" w:cs="Segoe UI"/>
          <w:bCs/>
        </w:rPr>
        <w:t xml:space="preserve"> 2023</w:t>
      </w:r>
    </w:p>
    <w:p w:rsidR="00494735" w:rsidRPr="00565EC0" w:rsidRDefault="00494735" w:rsidP="00494735">
      <w:pPr>
        <w:spacing w:after="0" w:line="240" w:lineRule="auto"/>
        <w:ind w:firstLine="720"/>
        <w:rPr>
          <w:rFonts w:ascii="Public Sans" w:hAnsi="Public Sans" w:cs="Segoe UI"/>
          <w:b/>
          <w:bCs/>
          <w:sz w:val="20"/>
        </w:rPr>
      </w:pP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
          <w:bCs/>
          <w:sz w:val="20"/>
        </w:rPr>
        <w:t xml:space="preserve">Our ref: </w:t>
      </w:r>
      <w:r w:rsidRPr="00CC055E">
        <w:rPr>
          <w:rFonts w:ascii="Public Sans" w:hAnsi="Public Sans" w:cs="Segoe UI"/>
          <w:bCs/>
          <w:sz w:val="20"/>
        </w:rPr>
        <w:t>ADCDOC23/</w:t>
      </w:r>
      <w:r w:rsidR="00CC055E">
        <w:rPr>
          <w:rFonts w:ascii="Public Sans" w:hAnsi="Public Sans" w:cs="Segoe UI"/>
          <w:bCs/>
          <w:sz w:val="20"/>
        </w:rPr>
        <w:t>711</w:t>
      </w:r>
    </w:p>
    <w:p w:rsidR="009D694C" w:rsidRDefault="009D694C" w:rsidP="00662F9C">
      <w:pPr>
        <w:spacing w:after="0" w:line="240" w:lineRule="auto"/>
        <w:rPr>
          <w:rFonts w:ascii="Public Sans" w:hAnsi="Public Sans" w:cs="Segoe UI"/>
          <w:bCs/>
        </w:rPr>
      </w:pPr>
    </w:p>
    <w:p w:rsidR="0027651D" w:rsidRDefault="009D694C" w:rsidP="00662F9C">
      <w:pPr>
        <w:spacing w:after="0" w:line="240" w:lineRule="auto"/>
        <w:rPr>
          <w:rFonts w:ascii="Public Sans" w:hAnsi="Public Sans" w:cs="Segoe UI"/>
          <w:bCs/>
        </w:rPr>
      </w:pPr>
      <w:r>
        <w:rPr>
          <w:rFonts w:ascii="Public Sans" w:hAnsi="Public Sans" w:cs="Segoe UI"/>
          <w:bCs/>
        </w:rPr>
        <w:t xml:space="preserve">The </w:t>
      </w:r>
      <w:r w:rsidR="0027651D" w:rsidRPr="0027651D">
        <w:rPr>
          <w:rFonts w:ascii="Public Sans" w:hAnsi="Public Sans" w:cs="Segoe UI"/>
          <w:bCs/>
        </w:rPr>
        <w:t>Hon Mark Dreyfus KC MP</w:t>
      </w:r>
    </w:p>
    <w:p w:rsidR="0027651D" w:rsidRDefault="0027651D" w:rsidP="00662F9C">
      <w:pPr>
        <w:spacing w:after="0" w:line="240" w:lineRule="auto"/>
        <w:rPr>
          <w:rFonts w:ascii="Public Sans" w:hAnsi="Public Sans" w:cs="Segoe UI"/>
          <w:bCs/>
        </w:rPr>
      </w:pPr>
      <w:r w:rsidRPr="0027651D">
        <w:rPr>
          <w:rFonts w:ascii="Public Sans" w:hAnsi="Public Sans" w:cs="Segoe UI"/>
          <w:bCs/>
        </w:rPr>
        <w:t>Attorney-General</w:t>
      </w:r>
      <w:r w:rsidR="00FF51A3">
        <w:rPr>
          <w:rFonts w:ascii="Public Sans" w:hAnsi="Public Sans" w:cs="Segoe UI"/>
          <w:bCs/>
        </w:rPr>
        <w:t xml:space="preserve"> of Australia</w:t>
      </w:r>
    </w:p>
    <w:p w:rsidR="00A560BC" w:rsidRDefault="00FF51A3" w:rsidP="00662F9C">
      <w:pPr>
        <w:spacing w:after="0" w:line="240" w:lineRule="auto"/>
        <w:rPr>
          <w:rFonts w:ascii="Public Sans" w:hAnsi="Public Sans" w:cs="Segoe UI"/>
          <w:bCs/>
        </w:rPr>
      </w:pPr>
      <w:r>
        <w:rPr>
          <w:rFonts w:ascii="Public Sans" w:hAnsi="Public Sans" w:cs="Segoe UI"/>
          <w:bCs/>
        </w:rPr>
        <w:t xml:space="preserve">Via submission uploaded to: </w:t>
      </w:r>
    </w:p>
    <w:p w:rsidR="00FF51A3" w:rsidRDefault="00D720CF" w:rsidP="00662F9C">
      <w:pPr>
        <w:spacing w:after="0" w:line="240" w:lineRule="auto"/>
        <w:rPr>
          <w:rFonts w:ascii="Public Sans" w:hAnsi="Public Sans" w:cs="Segoe UI"/>
          <w:bCs/>
        </w:rPr>
      </w:pPr>
      <w:hyperlink r:id="rId9" w:history="1">
        <w:r w:rsidR="00512127" w:rsidRPr="002A71AB">
          <w:rPr>
            <w:rStyle w:val="Hyperlink"/>
            <w:rFonts w:ascii="Public Sans" w:hAnsi="Public Sans" w:cs="Segoe UI"/>
            <w:bCs/>
          </w:rPr>
          <w:t>https://consultations.ag.gov.au/integrity/privacy-act-review-report/consultation/</w:t>
        </w:r>
      </w:hyperlink>
    </w:p>
    <w:p w:rsidR="00512127" w:rsidRDefault="00512127" w:rsidP="00662F9C">
      <w:pPr>
        <w:spacing w:after="0" w:line="240" w:lineRule="auto"/>
        <w:rPr>
          <w:rFonts w:ascii="Public Sans" w:hAnsi="Public Sans" w:cs="Segoe UI"/>
          <w:bCs/>
        </w:rPr>
      </w:pPr>
    </w:p>
    <w:p w:rsidR="003254E0" w:rsidRDefault="003254E0" w:rsidP="00662F9C">
      <w:pPr>
        <w:spacing w:after="0" w:line="240" w:lineRule="auto"/>
        <w:rPr>
          <w:rFonts w:ascii="Public Sans" w:hAnsi="Public Sans" w:cs="Segoe UI"/>
          <w:bCs/>
        </w:rPr>
      </w:pPr>
    </w:p>
    <w:p w:rsidR="00494735" w:rsidRPr="00565EC0" w:rsidRDefault="00494735" w:rsidP="00494735">
      <w:pPr>
        <w:spacing w:after="0" w:line="240" w:lineRule="auto"/>
        <w:rPr>
          <w:rFonts w:ascii="Public Sans" w:hAnsi="Public Sans" w:cs="Segoe UI"/>
          <w:bCs/>
        </w:rPr>
      </w:pPr>
      <w:r w:rsidRPr="00565EC0">
        <w:rPr>
          <w:rFonts w:ascii="Public Sans" w:hAnsi="Public Sans" w:cs="Segoe UI"/>
          <w:bCs/>
        </w:rPr>
        <w:t xml:space="preserve">Dear </w:t>
      </w:r>
      <w:r w:rsidR="00512127" w:rsidRPr="00512127">
        <w:rPr>
          <w:rFonts w:ascii="Public Sans" w:hAnsi="Public Sans" w:cs="Segoe UI"/>
          <w:bCs/>
        </w:rPr>
        <w:t xml:space="preserve">Attorney-General </w:t>
      </w:r>
    </w:p>
    <w:p w:rsidR="00494735" w:rsidRPr="00565EC0" w:rsidRDefault="00494735" w:rsidP="00494735">
      <w:pPr>
        <w:spacing w:after="0" w:line="240" w:lineRule="auto"/>
        <w:rPr>
          <w:rFonts w:ascii="Public Sans" w:hAnsi="Public Sans" w:cs="Segoe UI"/>
          <w:bCs/>
        </w:rPr>
      </w:pPr>
    </w:p>
    <w:p w:rsidR="00494735" w:rsidRPr="00565EC0" w:rsidRDefault="00494735" w:rsidP="00494735">
      <w:pPr>
        <w:spacing w:after="0" w:line="240" w:lineRule="auto"/>
        <w:rPr>
          <w:rFonts w:ascii="Public Sans" w:hAnsi="Public Sans" w:cs="Segoe UI"/>
          <w:bCs/>
        </w:rPr>
      </w:pPr>
      <w:r w:rsidRPr="00565EC0">
        <w:rPr>
          <w:rFonts w:ascii="Public Sans" w:hAnsi="Public Sans" w:cs="Segoe UI"/>
          <w:b/>
          <w:bCs/>
        </w:rPr>
        <w:t xml:space="preserve">Submission </w:t>
      </w:r>
      <w:r w:rsidR="00512127">
        <w:rPr>
          <w:rFonts w:ascii="Public Sans" w:hAnsi="Public Sans" w:cs="Segoe UI"/>
          <w:b/>
          <w:bCs/>
        </w:rPr>
        <w:t xml:space="preserve">in response </w:t>
      </w:r>
      <w:r w:rsidRPr="00565EC0">
        <w:rPr>
          <w:rFonts w:ascii="Public Sans" w:hAnsi="Public Sans" w:cs="Segoe UI"/>
          <w:b/>
          <w:bCs/>
        </w:rPr>
        <w:t xml:space="preserve">to </w:t>
      </w:r>
      <w:r w:rsidR="003254E0">
        <w:rPr>
          <w:rFonts w:ascii="Public Sans" w:hAnsi="Public Sans" w:cs="Segoe UI"/>
          <w:b/>
          <w:bCs/>
        </w:rPr>
        <w:t xml:space="preserve">the </w:t>
      </w:r>
      <w:r w:rsidR="00512127" w:rsidRPr="00512127">
        <w:rPr>
          <w:rFonts w:ascii="Public Sans" w:hAnsi="Public Sans" w:cs="Segoe UI"/>
          <w:b/>
          <w:bCs/>
        </w:rPr>
        <w:t>Privacy Act Review Report</w:t>
      </w:r>
    </w:p>
    <w:p w:rsidR="00494735" w:rsidRPr="00565EC0" w:rsidRDefault="00494735" w:rsidP="00494735">
      <w:pPr>
        <w:spacing w:after="0" w:line="240" w:lineRule="auto"/>
        <w:rPr>
          <w:rFonts w:ascii="Public Sans" w:hAnsi="Public Sans" w:cs="Segoe UI"/>
          <w:bCs/>
        </w:rPr>
      </w:pPr>
    </w:p>
    <w:p w:rsidR="00512127" w:rsidRDefault="00494735" w:rsidP="00494735">
      <w:pPr>
        <w:widowControl w:val="0"/>
        <w:spacing w:after="0" w:line="240" w:lineRule="auto"/>
        <w:rPr>
          <w:rFonts w:ascii="Public Sans" w:eastAsia="Times New Roman" w:hAnsi="Public Sans" w:cs="Segoe UI"/>
          <w:szCs w:val="24"/>
          <w:lang w:eastAsia="en-AU"/>
        </w:rPr>
      </w:pPr>
      <w:r w:rsidRPr="00565EC0">
        <w:rPr>
          <w:rFonts w:ascii="Public Sans" w:eastAsia="Times New Roman" w:hAnsi="Public Sans" w:cs="Segoe UI"/>
          <w:szCs w:val="24"/>
          <w:lang w:eastAsia="en-AU"/>
        </w:rPr>
        <w:t xml:space="preserve">The NSW Ageing and Disability Commission (ADC) welcomes the opportunity to make a submission </w:t>
      </w:r>
      <w:r w:rsidR="00A45AAD">
        <w:rPr>
          <w:rFonts w:ascii="Public Sans" w:eastAsia="Times New Roman" w:hAnsi="Public Sans" w:cs="Segoe UI"/>
          <w:szCs w:val="24"/>
          <w:lang w:eastAsia="en-AU"/>
        </w:rPr>
        <w:t xml:space="preserve">in response </w:t>
      </w:r>
      <w:r w:rsidRPr="00565EC0">
        <w:rPr>
          <w:rFonts w:ascii="Public Sans" w:eastAsia="Times New Roman" w:hAnsi="Public Sans" w:cs="Segoe UI"/>
          <w:szCs w:val="24"/>
          <w:lang w:eastAsia="en-AU"/>
        </w:rPr>
        <w:t xml:space="preserve">to the </w:t>
      </w:r>
      <w:r w:rsidR="00512127" w:rsidRPr="00512127">
        <w:rPr>
          <w:rFonts w:ascii="Public Sans" w:eastAsia="Times New Roman" w:hAnsi="Public Sans" w:cs="Segoe UI"/>
          <w:szCs w:val="24"/>
          <w:lang w:eastAsia="en-AU"/>
        </w:rPr>
        <w:t>Privacy Act Review Report</w:t>
      </w:r>
      <w:r w:rsidR="004B10A6">
        <w:rPr>
          <w:rFonts w:ascii="Public Sans" w:eastAsia="Times New Roman" w:hAnsi="Public Sans" w:cs="Segoe UI"/>
          <w:szCs w:val="24"/>
          <w:lang w:eastAsia="en-AU"/>
        </w:rPr>
        <w:t>, in relation to people experiencing vulnerability (Chapter 17)</w:t>
      </w:r>
      <w:r w:rsidR="00512127">
        <w:rPr>
          <w:rFonts w:ascii="Public Sans" w:eastAsia="Times New Roman" w:hAnsi="Public Sans" w:cs="Segoe UI"/>
          <w:szCs w:val="24"/>
          <w:lang w:eastAsia="en-AU"/>
        </w:rPr>
        <w:t xml:space="preserve">. </w:t>
      </w:r>
    </w:p>
    <w:p w:rsidR="00494735" w:rsidRPr="00565EC0" w:rsidRDefault="00494735" w:rsidP="00494735">
      <w:pPr>
        <w:widowControl w:val="0"/>
        <w:spacing w:after="0" w:line="240" w:lineRule="auto"/>
        <w:rPr>
          <w:rFonts w:ascii="Public Sans" w:eastAsia="Times New Roman" w:hAnsi="Public Sans" w:cs="Segoe UI"/>
          <w:szCs w:val="24"/>
          <w:lang w:eastAsia="en-AU"/>
        </w:rPr>
      </w:pPr>
    </w:p>
    <w:p w:rsidR="00337A7C" w:rsidRPr="00337A7C" w:rsidRDefault="00337A7C" w:rsidP="00337A7C">
      <w:pPr>
        <w:widowControl w:val="0"/>
        <w:spacing w:after="120" w:line="240" w:lineRule="auto"/>
        <w:rPr>
          <w:rFonts w:ascii="Public Sans" w:eastAsia="Times New Roman" w:hAnsi="Public Sans" w:cs="Segoe UI"/>
          <w:b/>
          <w:i/>
          <w:szCs w:val="24"/>
          <w:lang w:eastAsia="en-AU"/>
        </w:rPr>
      </w:pPr>
      <w:r w:rsidRPr="00337A7C">
        <w:rPr>
          <w:rFonts w:ascii="Public Sans" w:eastAsia="Times New Roman" w:hAnsi="Public Sans" w:cs="Segoe UI"/>
          <w:b/>
          <w:i/>
          <w:szCs w:val="24"/>
          <w:lang w:eastAsia="en-AU"/>
        </w:rPr>
        <w:t>Relevant background</w:t>
      </w:r>
    </w:p>
    <w:p w:rsidR="004F098C" w:rsidRDefault="00494735" w:rsidP="00494735">
      <w:pPr>
        <w:widowControl w:val="0"/>
        <w:spacing w:after="0" w:line="240" w:lineRule="auto"/>
        <w:rPr>
          <w:rFonts w:ascii="Public Sans" w:eastAsia="Times New Roman" w:hAnsi="Public Sans" w:cs="Segoe UI"/>
          <w:szCs w:val="24"/>
          <w:lang w:eastAsia="en-AU"/>
        </w:rPr>
      </w:pPr>
      <w:r w:rsidRPr="00565EC0">
        <w:rPr>
          <w:rFonts w:ascii="Public Sans" w:eastAsia="Times New Roman" w:hAnsi="Public Sans" w:cs="Segoe UI"/>
          <w:szCs w:val="24"/>
          <w:lang w:eastAsia="en-AU"/>
        </w:rPr>
        <w:t xml:space="preserve">The ADC </w:t>
      </w:r>
      <w:r>
        <w:rPr>
          <w:rFonts w:ascii="Public Sans" w:eastAsia="Times New Roman" w:hAnsi="Public Sans" w:cs="Segoe UI"/>
          <w:szCs w:val="24"/>
          <w:lang w:eastAsia="en-AU"/>
        </w:rPr>
        <w:t xml:space="preserve">was established </w:t>
      </w:r>
      <w:r w:rsidRPr="00565EC0">
        <w:rPr>
          <w:rFonts w:ascii="Public Sans" w:eastAsia="Times New Roman" w:hAnsi="Public Sans" w:cs="Segoe UI"/>
          <w:szCs w:val="24"/>
          <w:lang w:eastAsia="en-AU"/>
        </w:rPr>
        <w:t>on 1 July 2019</w:t>
      </w:r>
      <w:r>
        <w:rPr>
          <w:rFonts w:ascii="Public Sans" w:eastAsia="Times New Roman" w:hAnsi="Public Sans" w:cs="Segoe UI"/>
          <w:szCs w:val="24"/>
          <w:lang w:eastAsia="en-AU"/>
        </w:rPr>
        <w:t>, with the objectives of</w:t>
      </w:r>
      <w:r w:rsidRPr="00565EC0">
        <w:rPr>
          <w:rFonts w:ascii="Public Sans" w:eastAsia="Times New Roman" w:hAnsi="Public Sans" w:cs="Segoe UI"/>
          <w:szCs w:val="24"/>
          <w:lang w:eastAsia="en-AU"/>
        </w:rPr>
        <w:t xml:space="preserve"> protecting adults with disability and older people from abuse, neglect and exploitation, and protecting and promoting their rights. </w:t>
      </w:r>
    </w:p>
    <w:p w:rsidR="00337A7C" w:rsidRDefault="00337A7C" w:rsidP="00494735">
      <w:pPr>
        <w:widowControl w:val="0"/>
        <w:spacing w:after="0" w:line="240" w:lineRule="auto"/>
        <w:rPr>
          <w:rFonts w:ascii="Public Sans" w:eastAsia="Times New Roman" w:hAnsi="Public Sans" w:cs="Segoe UI"/>
          <w:szCs w:val="24"/>
          <w:lang w:eastAsia="en-AU"/>
        </w:rPr>
      </w:pPr>
    </w:p>
    <w:p w:rsidR="0049304D" w:rsidRDefault="0049304D" w:rsidP="0049304D">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A key role of the ADC is to respond to reports about adults with disability and older people in NSW who are subject to, or at risk of, abuse, neglect and exploitation in their family, home and community, including by providing advice, making referrals, and conducting investigations. </w:t>
      </w:r>
    </w:p>
    <w:p w:rsidR="00337A7C" w:rsidRDefault="00337A7C" w:rsidP="00494735">
      <w:pPr>
        <w:widowControl w:val="0"/>
        <w:spacing w:after="0" w:line="240" w:lineRule="auto"/>
        <w:rPr>
          <w:rFonts w:ascii="Public Sans" w:eastAsia="Times New Roman" w:hAnsi="Public Sans" w:cs="Segoe UI"/>
          <w:szCs w:val="24"/>
          <w:lang w:eastAsia="en-AU"/>
        </w:rPr>
      </w:pPr>
    </w:p>
    <w:p w:rsidR="0097088F" w:rsidRDefault="0097088F" w:rsidP="0097088F">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In 2020-2022, the ADC received 10,963 reports, involvin</w:t>
      </w:r>
      <w:r w:rsidR="009748AD">
        <w:rPr>
          <w:rFonts w:ascii="Public Sans" w:eastAsia="Times New Roman" w:hAnsi="Public Sans" w:cs="Segoe UI"/>
          <w:szCs w:val="24"/>
          <w:lang w:eastAsia="en-AU"/>
        </w:rPr>
        <w:t>g a 40% increase over the three-</w:t>
      </w:r>
      <w:r>
        <w:rPr>
          <w:rFonts w:ascii="Public Sans" w:eastAsia="Times New Roman" w:hAnsi="Public Sans" w:cs="Segoe UI"/>
          <w:szCs w:val="24"/>
          <w:lang w:eastAsia="en-AU"/>
        </w:rPr>
        <w:t>year period. Of the 10,963 reports:</w:t>
      </w:r>
    </w:p>
    <w:p w:rsidR="0097088F" w:rsidRDefault="0097088F" w:rsidP="0097088F">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the majority (77%) involved older people,</w:t>
      </w:r>
      <w:r>
        <w:rPr>
          <w:rStyle w:val="FootnoteReference"/>
          <w:rFonts w:ascii="Public Sans" w:eastAsia="Times New Roman" w:hAnsi="Public Sans" w:cs="Segoe UI"/>
          <w:szCs w:val="24"/>
          <w:lang w:eastAsia="en-AU"/>
        </w:rPr>
        <w:footnoteReference w:id="1"/>
      </w:r>
      <w:r>
        <w:rPr>
          <w:rFonts w:ascii="Public Sans" w:eastAsia="Times New Roman" w:hAnsi="Public Sans" w:cs="Segoe UI"/>
          <w:szCs w:val="24"/>
          <w:lang w:eastAsia="en-AU"/>
        </w:rPr>
        <w:t xml:space="preserve"> including older people with disability</w:t>
      </w:r>
    </w:p>
    <w:p w:rsidR="0097088F" w:rsidRDefault="0097088F" w:rsidP="0097088F">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one-quarter (23%) involved adults with disability (who were not older people)</w:t>
      </w:r>
    </w:p>
    <w:p w:rsidR="0097088F" w:rsidRDefault="0097088F" w:rsidP="0097088F">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for older people, the most common alleged abuse involved psychological abuse (40%), financial abuse (28%) and neglect (21%), primarily by their adult children or other family members</w:t>
      </w:r>
    </w:p>
    <w:p w:rsidR="0097088F" w:rsidRDefault="0097088F" w:rsidP="0097088F">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for adults with disability, the most common alleged abuse involved psychological abuse (34%), neglect (26%) and financial abuse (18%), primarily by their parents or other family members</w:t>
      </w:r>
    </w:p>
    <w:p w:rsidR="0097088F" w:rsidRPr="0097088F" w:rsidRDefault="0097088F" w:rsidP="0097088F">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the most common forms of alleged financial abuse involve</w:t>
      </w:r>
      <w:r w:rsidR="00982D0D">
        <w:rPr>
          <w:rFonts w:ascii="Public Sans" w:eastAsia="Times New Roman" w:hAnsi="Public Sans" w:cs="Segoe UI"/>
          <w:szCs w:val="24"/>
          <w:lang w:eastAsia="en-AU"/>
        </w:rPr>
        <w:t>d</w:t>
      </w:r>
      <w:r>
        <w:rPr>
          <w:rFonts w:ascii="Public Sans" w:eastAsia="Times New Roman" w:hAnsi="Public Sans" w:cs="Segoe UI"/>
          <w:szCs w:val="24"/>
          <w:lang w:eastAsia="en-AU"/>
        </w:rPr>
        <w:t xml:space="preserve"> financial exploitation, misuse of Power of Attorney/Enduring POA, preventing the adult’s access to their finances, and theft </w:t>
      </w:r>
    </w:p>
    <w:p w:rsidR="0097088F" w:rsidRPr="00E65170" w:rsidRDefault="0097088F" w:rsidP="0097088F">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 xml:space="preserve">for both older people and adults with disability, psychological abuse has commonly been used to enable financial abuse and exploitation, including verbal threats, pressure, blackmail, and harassment. </w:t>
      </w:r>
    </w:p>
    <w:p w:rsidR="008A39A0" w:rsidRDefault="008A39A0" w:rsidP="00494735">
      <w:pPr>
        <w:widowControl w:val="0"/>
        <w:spacing w:after="0" w:line="240" w:lineRule="auto"/>
        <w:rPr>
          <w:rFonts w:ascii="Public Sans" w:eastAsia="Times New Roman" w:hAnsi="Public Sans" w:cs="Segoe UI"/>
          <w:szCs w:val="24"/>
          <w:lang w:eastAsia="en-AU"/>
        </w:rPr>
      </w:pPr>
    </w:p>
    <w:p w:rsidR="008A39A0" w:rsidRDefault="00B70CAE" w:rsidP="008A39A0">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In addition, in 2021 c</w:t>
      </w:r>
      <w:r w:rsidR="008A39A0" w:rsidRPr="008A39A0">
        <w:rPr>
          <w:rFonts w:ascii="Public Sans" w:eastAsia="Times New Roman" w:hAnsi="Public Sans" w:cs="Segoe UI"/>
          <w:szCs w:val="24"/>
          <w:lang w:eastAsia="en-AU"/>
        </w:rPr>
        <w:t xml:space="preserve">oncerns </w:t>
      </w:r>
      <w:r>
        <w:rPr>
          <w:rFonts w:ascii="Public Sans" w:eastAsia="Times New Roman" w:hAnsi="Public Sans" w:cs="Segoe UI"/>
          <w:szCs w:val="24"/>
          <w:lang w:eastAsia="en-AU"/>
        </w:rPr>
        <w:t>were</w:t>
      </w:r>
      <w:r w:rsidR="008A39A0">
        <w:rPr>
          <w:rFonts w:ascii="Public Sans" w:eastAsia="Times New Roman" w:hAnsi="Public Sans" w:cs="Segoe UI"/>
          <w:szCs w:val="24"/>
          <w:lang w:eastAsia="en-AU"/>
        </w:rPr>
        <w:t xml:space="preserve"> </w:t>
      </w:r>
      <w:r w:rsidR="008A39A0" w:rsidRPr="008A39A0">
        <w:rPr>
          <w:rFonts w:ascii="Public Sans" w:eastAsia="Times New Roman" w:hAnsi="Public Sans" w:cs="Segoe UI"/>
          <w:szCs w:val="24"/>
          <w:lang w:eastAsia="en-AU"/>
        </w:rPr>
        <w:t xml:space="preserve">raised with the ADC about the circumstances of some older survivors of institutional child </w:t>
      </w:r>
      <w:r>
        <w:rPr>
          <w:rFonts w:ascii="Public Sans" w:eastAsia="Times New Roman" w:hAnsi="Public Sans" w:cs="Segoe UI"/>
          <w:szCs w:val="24"/>
          <w:lang w:eastAsia="en-AU"/>
        </w:rPr>
        <w:t xml:space="preserve">sexual </w:t>
      </w:r>
      <w:r w:rsidR="008A39A0" w:rsidRPr="008A39A0">
        <w:rPr>
          <w:rFonts w:ascii="Public Sans" w:eastAsia="Times New Roman" w:hAnsi="Public Sans" w:cs="Segoe UI"/>
          <w:szCs w:val="24"/>
          <w:lang w:eastAsia="en-AU"/>
        </w:rPr>
        <w:t>abuse with declinin</w:t>
      </w:r>
      <w:r>
        <w:rPr>
          <w:rFonts w:ascii="Public Sans" w:eastAsia="Times New Roman" w:hAnsi="Public Sans" w:cs="Segoe UI"/>
          <w:szCs w:val="24"/>
          <w:lang w:eastAsia="en-AU"/>
        </w:rPr>
        <w:t xml:space="preserve">g decision-making capacity, </w:t>
      </w:r>
      <w:r w:rsidR="00CA76C4">
        <w:rPr>
          <w:rFonts w:ascii="Public Sans" w:eastAsia="Times New Roman" w:hAnsi="Public Sans" w:cs="Segoe UI"/>
          <w:szCs w:val="24"/>
          <w:lang w:eastAsia="en-AU"/>
        </w:rPr>
        <w:t>highlighting</w:t>
      </w:r>
      <w:r>
        <w:rPr>
          <w:rFonts w:ascii="Public Sans" w:eastAsia="Times New Roman" w:hAnsi="Public Sans" w:cs="Segoe UI"/>
          <w:szCs w:val="24"/>
          <w:lang w:eastAsia="en-AU"/>
        </w:rPr>
        <w:t xml:space="preserve"> </w:t>
      </w:r>
      <w:r w:rsidR="0067293B">
        <w:rPr>
          <w:rFonts w:ascii="Public Sans" w:eastAsia="Times New Roman" w:hAnsi="Public Sans" w:cs="Segoe UI"/>
          <w:szCs w:val="24"/>
          <w:lang w:eastAsia="en-AU"/>
        </w:rPr>
        <w:t>the need to improve safeguards for survivors from financial abuse and exploitation, including in relation to National Redress Scheme payments</w:t>
      </w:r>
      <w:r w:rsidR="00B17E6B">
        <w:rPr>
          <w:rFonts w:ascii="Public Sans" w:eastAsia="Times New Roman" w:hAnsi="Public Sans" w:cs="Segoe UI"/>
          <w:szCs w:val="24"/>
          <w:lang w:eastAsia="en-AU"/>
        </w:rPr>
        <w:t>.</w:t>
      </w:r>
      <w:r w:rsidR="008A39A0" w:rsidRPr="008A39A0">
        <w:rPr>
          <w:rFonts w:ascii="Public Sans" w:eastAsia="Times New Roman" w:hAnsi="Public Sans" w:cs="Segoe UI"/>
          <w:szCs w:val="24"/>
          <w:lang w:eastAsia="en-AU"/>
        </w:rPr>
        <w:t xml:space="preserve"> </w:t>
      </w:r>
    </w:p>
    <w:p w:rsidR="008A39A0" w:rsidRPr="008A39A0" w:rsidRDefault="008A39A0" w:rsidP="008A39A0">
      <w:pPr>
        <w:widowControl w:val="0"/>
        <w:spacing w:after="0" w:line="240" w:lineRule="auto"/>
        <w:rPr>
          <w:rFonts w:ascii="Public Sans" w:eastAsia="Times New Roman" w:hAnsi="Public Sans" w:cs="Segoe UI"/>
          <w:szCs w:val="24"/>
          <w:lang w:eastAsia="en-AU"/>
        </w:rPr>
      </w:pPr>
    </w:p>
    <w:p w:rsidR="0067293B" w:rsidRDefault="008A39A0" w:rsidP="008A39A0">
      <w:pPr>
        <w:widowControl w:val="0"/>
        <w:spacing w:after="0" w:line="240" w:lineRule="auto"/>
        <w:rPr>
          <w:rFonts w:ascii="Public Sans" w:eastAsia="Times New Roman" w:hAnsi="Public Sans" w:cs="Segoe UI"/>
          <w:szCs w:val="24"/>
          <w:lang w:eastAsia="en-AU"/>
        </w:rPr>
      </w:pPr>
      <w:r w:rsidRPr="008A39A0">
        <w:rPr>
          <w:rFonts w:ascii="Public Sans" w:eastAsia="Times New Roman" w:hAnsi="Public Sans" w:cs="Segoe UI"/>
          <w:szCs w:val="24"/>
          <w:lang w:eastAsia="en-AU"/>
        </w:rPr>
        <w:t>In response to the</w:t>
      </w:r>
      <w:r w:rsidR="0020483C">
        <w:rPr>
          <w:rFonts w:ascii="Public Sans" w:eastAsia="Times New Roman" w:hAnsi="Public Sans" w:cs="Segoe UI"/>
          <w:szCs w:val="24"/>
          <w:lang w:eastAsia="en-AU"/>
        </w:rPr>
        <w:t>se</w:t>
      </w:r>
      <w:r w:rsidRPr="008A39A0">
        <w:rPr>
          <w:rFonts w:ascii="Public Sans" w:eastAsia="Times New Roman" w:hAnsi="Public Sans" w:cs="Segoe UI"/>
          <w:szCs w:val="24"/>
          <w:lang w:eastAsia="en-AU"/>
        </w:rPr>
        <w:t xml:space="preserve"> concerns, the ADC held two roundtables with NSW stakeholders in 2021 and 2022 to explore the issues, discuss practical options for strengthening safeguards and mitigating risks, and to consider opportunities for further action. </w:t>
      </w:r>
    </w:p>
    <w:p w:rsidR="0067293B" w:rsidRDefault="0067293B" w:rsidP="008A39A0">
      <w:pPr>
        <w:widowControl w:val="0"/>
        <w:spacing w:after="0" w:line="240" w:lineRule="auto"/>
        <w:rPr>
          <w:rFonts w:ascii="Public Sans" w:eastAsia="Times New Roman" w:hAnsi="Public Sans" w:cs="Segoe UI"/>
          <w:szCs w:val="24"/>
          <w:lang w:eastAsia="en-AU"/>
        </w:rPr>
      </w:pPr>
    </w:p>
    <w:p w:rsidR="008A39A0" w:rsidRPr="008A39A0" w:rsidRDefault="00D773B0" w:rsidP="008A39A0">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The </w:t>
      </w:r>
      <w:r w:rsidR="0067293B">
        <w:rPr>
          <w:rFonts w:ascii="Public Sans" w:eastAsia="Times New Roman" w:hAnsi="Public Sans" w:cs="Segoe UI"/>
          <w:szCs w:val="24"/>
          <w:lang w:eastAsia="en-AU"/>
        </w:rPr>
        <w:t xml:space="preserve">submission of </w:t>
      </w:r>
      <w:r>
        <w:rPr>
          <w:rFonts w:ascii="Public Sans" w:eastAsia="Times New Roman" w:hAnsi="Public Sans" w:cs="Segoe UI"/>
          <w:szCs w:val="24"/>
          <w:lang w:eastAsia="en-AU"/>
        </w:rPr>
        <w:t xml:space="preserve">the ADC </w:t>
      </w:r>
      <w:r w:rsidR="0067293B">
        <w:rPr>
          <w:rFonts w:ascii="Public Sans" w:eastAsia="Times New Roman" w:hAnsi="Public Sans" w:cs="Segoe UI"/>
          <w:szCs w:val="24"/>
          <w:lang w:eastAsia="en-AU"/>
        </w:rPr>
        <w:t xml:space="preserve">has been informed by our handling of reports about abuse, neglect and exploitation of adults with disability and older people, and the roundtable discussions with key stakeholders. Given the role of the ADC, our submission is focused on improving safeguards for adults </w:t>
      </w:r>
      <w:r w:rsidR="002E1EF0">
        <w:rPr>
          <w:rFonts w:ascii="Public Sans" w:eastAsia="Times New Roman" w:hAnsi="Public Sans" w:cs="Segoe UI"/>
          <w:szCs w:val="24"/>
          <w:lang w:eastAsia="en-AU"/>
        </w:rPr>
        <w:t>subject to, or at risk of,</w:t>
      </w:r>
      <w:r w:rsidR="0067293B">
        <w:rPr>
          <w:rFonts w:ascii="Public Sans" w:eastAsia="Times New Roman" w:hAnsi="Public Sans" w:cs="Segoe UI"/>
          <w:szCs w:val="24"/>
          <w:lang w:eastAsia="en-AU"/>
        </w:rPr>
        <w:t xml:space="preserve"> financial abuse and exploitation. </w:t>
      </w:r>
    </w:p>
    <w:p w:rsidR="008A39A0" w:rsidRDefault="008A39A0" w:rsidP="00494735">
      <w:pPr>
        <w:widowControl w:val="0"/>
        <w:spacing w:after="0" w:line="240" w:lineRule="auto"/>
        <w:rPr>
          <w:rFonts w:ascii="Public Sans" w:eastAsia="Times New Roman" w:hAnsi="Public Sans" w:cs="Segoe UI"/>
          <w:szCs w:val="24"/>
          <w:lang w:eastAsia="en-AU"/>
        </w:rPr>
      </w:pPr>
    </w:p>
    <w:p w:rsidR="0067293B" w:rsidRPr="005B0D3E" w:rsidRDefault="00CA76C4" w:rsidP="005B0D3E">
      <w:pPr>
        <w:widowControl w:val="0"/>
        <w:spacing w:after="120" w:line="240" w:lineRule="auto"/>
        <w:rPr>
          <w:rFonts w:ascii="Public Sans" w:eastAsia="Times New Roman" w:hAnsi="Public Sans" w:cs="Segoe UI"/>
          <w:b/>
          <w:i/>
          <w:szCs w:val="24"/>
          <w:lang w:eastAsia="en-AU"/>
        </w:rPr>
      </w:pPr>
      <w:r w:rsidRPr="005B0D3E">
        <w:rPr>
          <w:rFonts w:ascii="Public Sans" w:eastAsia="Times New Roman" w:hAnsi="Public Sans" w:cs="Segoe UI"/>
          <w:b/>
          <w:i/>
          <w:szCs w:val="24"/>
          <w:lang w:eastAsia="en-AU"/>
        </w:rPr>
        <w:t>Chapter 17 – People experiencing vulnerability</w:t>
      </w:r>
    </w:p>
    <w:p w:rsidR="00961CFB" w:rsidRPr="00C34F4B" w:rsidRDefault="00961CFB" w:rsidP="008F4CA3">
      <w:pPr>
        <w:widowControl w:val="0"/>
        <w:spacing w:before="240" w:after="0" w:line="240" w:lineRule="auto"/>
        <w:rPr>
          <w:rFonts w:ascii="Public Sans" w:eastAsia="Times New Roman" w:hAnsi="Public Sans" w:cs="Segoe UI"/>
          <w:i/>
          <w:szCs w:val="24"/>
          <w:lang w:eastAsia="en-AU"/>
        </w:rPr>
      </w:pPr>
      <w:r w:rsidRPr="00C34F4B">
        <w:rPr>
          <w:rFonts w:ascii="Public Sans" w:eastAsia="Times New Roman" w:hAnsi="Public Sans" w:cs="Segoe UI"/>
          <w:b/>
          <w:i/>
          <w:szCs w:val="24"/>
          <w:lang w:eastAsia="en-AU"/>
        </w:rPr>
        <w:t>Proposal 17.1</w:t>
      </w:r>
      <w:r w:rsidR="00E23AB4" w:rsidRPr="00C34F4B">
        <w:rPr>
          <w:rFonts w:ascii="Public Sans" w:eastAsia="Times New Roman" w:hAnsi="Public Sans" w:cs="Segoe UI"/>
          <w:b/>
          <w:i/>
          <w:szCs w:val="24"/>
          <w:lang w:eastAsia="en-AU"/>
        </w:rPr>
        <w:t>:</w:t>
      </w:r>
      <w:r w:rsidRPr="00C34F4B">
        <w:rPr>
          <w:rFonts w:ascii="Public Sans" w:eastAsia="Times New Roman" w:hAnsi="Public Sans" w:cs="Segoe UI"/>
          <w:i/>
          <w:szCs w:val="24"/>
          <w:lang w:eastAsia="en-AU"/>
        </w:rPr>
        <w:t xml:space="preserve"> Introduce, in OAIC guidance, a non-exhaustive list of factors that indicate when an individual may be experiencing vulnerability and at higher risk of harm from interferences with their personal information.</w:t>
      </w:r>
    </w:p>
    <w:p w:rsidR="00DB08FC" w:rsidRPr="00C34F4B" w:rsidRDefault="00DB08FC" w:rsidP="00DB08FC">
      <w:pPr>
        <w:widowControl w:val="0"/>
        <w:spacing w:after="0" w:line="240" w:lineRule="auto"/>
        <w:rPr>
          <w:rFonts w:ascii="Public Sans" w:eastAsia="Times New Roman" w:hAnsi="Public Sans" w:cs="Segoe UI"/>
          <w:szCs w:val="24"/>
          <w:lang w:eastAsia="en-AU"/>
        </w:rPr>
      </w:pPr>
    </w:p>
    <w:p w:rsidR="002A54C5" w:rsidRDefault="00C34F4B" w:rsidP="00DB08FC">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In the main, the ADC supports this proposal. </w:t>
      </w:r>
      <w:r w:rsidR="00F9365E">
        <w:rPr>
          <w:rFonts w:ascii="Public Sans" w:eastAsia="Times New Roman" w:hAnsi="Public Sans" w:cs="Segoe UI"/>
          <w:szCs w:val="24"/>
          <w:lang w:eastAsia="en-AU"/>
        </w:rPr>
        <w:t>We agree with the submissions to the review that vulnerability is multifaceted</w:t>
      </w:r>
      <w:r w:rsidR="008F4CA3">
        <w:rPr>
          <w:rFonts w:ascii="Public Sans" w:eastAsia="Times New Roman" w:hAnsi="Public Sans" w:cs="Segoe UI"/>
          <w:szCs w:val="24"/>
          <w:lang w:eastAsia="en-AU"/>
        </w:rPr>
        <w:t xml:space="preserve"> and </w:t>
      </w:r>
      <w:r w:rsidR="002A54C5">
        <w:rPr>
          <w:rFonts w:ascii="Public Sans" w:eastAsia="Times New Roman" w:hAnsi="Public Sans" w:cs="Segoe UI"/>
          <w:szCs w:val="24"/>
          <w:lang w:eastAsia="en-AU"/>
        </w:rPr>
        <w:t>situational</w:t>
      </w:r>
      <w:r w:rsidR="00146D2F">
        <w:rPr>
          <w:rFonts w:ascii="Public Sans" w:eastAsia="Times New Roman" w:hAnsi="Public Sans" w:cs="Segoe UI"/>
          <w:szCs w:val="24"/>
          <w:lang w:eastAsia="en-AU"/>
        </w:rPr>
        <w:t xml:space="preserve"> </w:t>
      </w:r>
      <w:r w:rsidR="00F9365E">
        <w:rPr>
          <w:rFonts w:ascii="Public Sans" w:eastAsia="Times New Roman" w:hAnsi="Public Sans" w:cs="Segoe UI"/>
          <w:szCs w:val="24"/>
          <w:lang w:eastAsia="en-AU"/>
        </w:rPr>
        <w:t xml:space="preserve">and </w:t>
      </w:r>
      <w:r w:rsidR="00146D2F">
        <w:rPr>
          <w:rFonts w:ascii="Public Sans" w:eastAsia="Times New Roman" w:hAnsi="Public Sans" w:cs="Segoe UI"/>
          <w:szCs w:val="24"/>
          <w:lang w:eastAsia="en-AU"/>
        </w:rPr>
        <w:t xml:space="preserve">should </w:t>
      </w:r>
      <w:r w:rsidR="00F9365E">
        <w:rPr>
          <w:rFonts w:ascii="Public Sans" w:eastAsia="Times New Roman" w:hAnsi="Public Sans" w:cs="Segoe UI"/>
          <w:szCs w:val="24"/>
          <w:lang w:eastAsia="en-AU"/>
        </w:rPr>
        <w:t xml:space="preserve">not </w:t>
      </w:r>
      <w:r w:rsidR="00146D2F">
        <w:rPr>
          <w:rFonts w:ascii="Public Sans" w:eastAsia="Times New Roman" w:hAnsi="Public Sans" w:cs="Segoe UI"/>
          <w:szCs w:val="24"/>
          <w:lang w:eastAsia="en-AU"/>
        </w:rPr>
        <w:t xml:space="preserve">be seen as a fixed trait associated with </w:t>
      </w:r>
      <w:r w:rsidR="002A54C5">
        <w:rPr>
          <w:rFonts w:ascii="Public Sans" w:eastAsia="Times New Roman" w:hAnsi="Public Sans" w:cs="Segoe UI"/>
          <w:szCs w:val="24"/>
          <w:lang w:eastAsia="en-AU"/>
        </w:rPr>
        <w:t xml:space="preserve">an individual. We support the focus on factors that indicate when a person </w:t>
      </w:r>
      <w:r w:rsidR="002A54C5" w:rsidRPr="002A54C5">
        <w:rPr>
          <w:rFonts w:ascii="Public Sans" w:eastAsia="Times New Roman" w:hAnsi="Public Sans" w:cs="Segoe UI"/>
          <w:b/>
          <w:szCs w:val="24"/>
          <w:lang w:eastAsia="en-AU"/>
        </w:rPr>
        <w:t>may</w:t>
      </w:r>
      <w:r w:rsidR="002A54C5">
        <w:rPr>
          <w:rFonts w:ascii="Public Sans" w:eastAsia="Times New Roman" w:hAnsi="Public Sans" w:cs="Segoe UI"/>
          <w:szCs w:val="24"/>
          <w:lang w:eastAsia="en-AU"/>
        </w:rPr>
        <w:t xml:space="preserve"> be experiencing vulnerability and at higher risk of harm</w:t>
      </w:r>
      <w:r w:rsidR="008F4CA3">
        <w:rPr>
          <w:rFonts w:ascii="Public Sans" w:eastAsia="Times New Roman" w:hAnsi="Public Sans" w:cs="Segoe UI"/>
          <w:szCs w:val="24"/>
          <w:lang w:eastAsia="en-AU"/>
        </w:rPr>
        <w:t>.</w:t>
      </w:r>
    </w:p>
    <w:p w:rsidR="002A54C5" w:rsidRDefault="002A54C5" w:rsidP="00DB08FC">
      <w:pPr>
        <w:widowControl w:val="0"/>
        <w:spacing w:after="0" w:line="240" w:lineRule="auto"/>
        <w:rPr>
          <w:rFonts w:ascii="Public Sans" w:eastAsia="Times New Roman" w:hAnsi="Public Sans" w:cs="Segoe UI"/>
          <w:szCs w:val="24"/>
          <w:lang w:eastAsia="en-AU"/>
        </w:rPr>
      </w:pPr>
    </w:p>
    <w:p w:rsidR="00961CFB" w:rsidRPr="008F4CA3" w:rsidRDefault="00961CFB" w:rsidP="008F4CA3">
      <w:pPr>
        <w:widowControl w:val="0"/>
        <w:spacing w:before="120" w:after="0" w:line="240" w:lineRule="auto"/>
        <w:rPr>
          <w:rFonts w:ascii="Public Sans" w:eastAsia="Times New Roman" w:hAnsi="Public Sans" w:cs="Segoe UI"/>
          <w:i/>
          <w:szCs w:val="24"/>
          <w:lang w:eastAsia="en-AU"/>
        </w:rPr>
      </w:pPr>
      <w:r w:rsidRPr="008F4CA3">
        <w:rPr>
          <w:rFonts w:ascii="Public Sans" w:eastAsia="Times New Roman" w:hAnsi="Public Sans" w:cs="Segoe UI"/>
          <w:b/>
          <w:i/>
          <w:szCs w:val="24"/>
          <w:lang w:eastAsia="en-AU"/>
        </w:rPr>
        <w:t>Proposal 17.2</w:t>
      </w:r>
      <w:r w:rsidR="00E23AB4" w:rsidRPr="008F4CA3">
        <w:rPr>
          <w:rFonts w:ascii="Public Sans" w:eastAsia="Times New Roman" w:hAnsi="Public Sans" w:cs="Segoe UI"/>
          <w:b/>
          <w:i/>
          <w:szCs w:val="24"/>
          <w:lang w:eastAsia="en-AU"/>
        </w:rPr>
        <w:t>:</w:t>
      </w:r>
      <w:r w:rsidRPr="008F4CA3">
        <w:rPr>
          <w:rFonts w:ascii="Public Sans" w:eastAsia="Times New Roman" w:hAnsi="Public Sans" w:cs="Segoe UI"/>
          <w:i/>
          <w:szCs w:val="24"/>
          <w:lang w:eastAsia="en-AU"/>
        </w:rPr>
        <w:t xml:space="preserve"> OAIC guidance on capacity and consent should be updated to reflect developments in supported decision-making.</w:t>
      </w:r>
    </w:p>
    <w:p w:rsidR="00DB08FC" w:rsidRDefault="00DB08FC" w:rsidP="00DB08FC">
      <w:pPr>
        <w:widowControl w:val="0"/>
        <w:spacing w:after="0" w:line="240" w:lineRule="auto"/>
        <w:rPr>
          <w:rFonts w:ascii="Public Sans" w:eastAsia="Times New Roman" w:hAnsi="Public Sans" w:cs="Segoe UI"/>
          <w:szCs w:val="24"/>
          <w:lang w:eastAsia="en-AU"/>
        </w:rPr>
      </w:pPr>
    </w:p>
    <w:p w:rsidR="008F4CA3" w:rsidRDefault="008F4CA3" w:rsidP="00DB08FC">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The ADC welcomes the proposal to ensure that the guidance on capacity and consent reflects developments in supported decision-making. Advancing supported decision-making in NSW is a priority for </w:t>
      </w:r>
      <w:r w:rsidR="00182A46">
        <w:rPr>
          <w:rFonts w:ascii="Public Sans" w:eastAsia="Times New Roman" w:hAnsi="Public Sans" w:cs="Segoe UI"/>
          <w:szCs w:val="24"/>
          <w:lang w:eastAsia="en-AU"/>
        </w:rPr>
        <w:t xml:space="preserve">both </w:t>
      </w:r>
      <w:r>
        <w:rPr>
          <w:rFonts w:ascii="Public Sans" w:eastAsia="Times New Roman" w:hAnsi="Public Sans" w:cs="Segoe UI"/>
          <w:szCs w:val="24"/>
          <w:lang w:eastAsia="en-AU"/>
        </w:rPr>
        <w:t xml:space="preserve">the ADC and </w:t>
      </w:r>
      <w:r w:rsidR="00182A46">
        <w:rPr>
          <w:rFonts w:ascii="Public Sans" w:eastAsia="Times New Roman" w:hAnsi="Public Sans" w:cs="Segoe UI"/>
          <w:szCs w:val="24"/>
          <w:lang w:eastAsia="en-AU"/>
        </w:rPr>
        <w:t xml:space="preserve">our Ageing and Disability Advisory Board, and is vital to upholding the rights of people with disability and </w:t>
      </w:r>
      <w:r w:rsidR="00F819C7">
        <w:rPr>
          <w:rFonts w:ascii="Public Sans" w:eastAsia="Times New Roman" w:hAnsi="Public Sans" w:cs="Segoe UI"/>
          <w:szCs w:val="24"/>
          <w:lang w:eastAsia="en-AU"/>
        </w:rPr>
        <w:t>facilitating</w:t>
      </w:r>
      <w:r w:rsidR="00CA4132">
        <w:rPr>
          <w:rFonts w:ascii="Public Sans" w:eastAsia="Times New Roman" w:hAnsi="Public Sans" w:cs="Segoe UI"/>
          <w:szCs w:val="24"/>
          <w:lang w:eastAsia="en-AU"/>
        </w:rPr>
        <w:t xml:space="preserve"> </w:t>
      </w:r>
      <w:r w:rsidR="00182A46">
        <w:rPr>
          <w:rFonts w:ascii="Public Sans" w:eastAsia="Times New Roman" w:hAnsi="Public Sans" w:cs="Segoe UI"/>
          <w:szCs w:val="24"/>
          <w:lang w:eastAsia="en-AU"/>
        </w:rPr>
        <w:t>appropriate safeguard</w:t>
      </w:r>
      <w:r w:rsidR="00CA4132">
        <w:rPr>
          <w:rFonts w:ascii="Public Sans" w:eastAsia="Times New Roman" w:hAnsi="Public Sans" w:cs="Segoe UI"/>
          <w:szCs w:val="24"/>
          <w:lang w:eastAsia="en-AU"/>
        </w:rPr>
        <w:t>s</w:t>
      </w:r>
      <w:r w:rsidR="00F819C7">
        <w:rPr>
          <w:rFonts w:ascii="Public Sans" w:eastAsia="Times New Roman" w:hAnsi="Public Sans" w:cs="Segoe UI"/>
          <w:szCs w:val="24"/>
          <w:lang w:eastAsia="en-AU"/>
        </w:rPr>
        <w:t xml:space="preserve"> from abuse</w:t>
      </w:r>
      <w:r w:rsidR="00182A46">
        <w:rPr>
          <w:rFonts w:ascii="Public Sans" w:eastAsia="Times New Roman" w:hAnsi="Public Sans" w:cs="Segoe UI"/>
          <w:szCs w:val="24"/>
          <w:lang w:eastAsia="en-AU"/>
        </w:rPr>
        <w:t xml:space="preserve">. </w:t>
      </w:r>
    </w:p>
    <w:p w:rsidR="00F819C7" w:rsidRDefault="00F819C7" w:rsidP="00DB08FC">
      <w:pPr>
        <w:widowControl w:val="0"/>
        <w:spacing w:after="0" w:line="240" w:lineRule="auto"/>
        <w:rPr>
          <w:rFonts w:ascii="Public Sans" w:eastAsia="Times New Roman" w:hAnsi="Public Sans" w:cs="Segoe UI"/>
          <w:szCs w:val="24"/>
          <w:lang w:eastAsia="en-AU"/>
        </w:rPr>
      </w:pPr>
    </w:p>
    <w:p w:rsidR="00F819C7" w:rsidRDefault="007D3154" w:rsidP="00DB08FC">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We support the submissions to the review that have highlighted the need to ensure that third party representation is valid </w:t>
      </w:r>
      <w:r w:rsidR="00847D57">
        <w:rPr>
          <w:rFonts w:ascii="Public Sans" w:eastAsia="Times New Roman" w:hAnsi="Public Sans" w:cs="Segoe UI"/>
          <w:szCs w:val="24"/>
          <w:lang w:eastAsia="en-AU"/>
        </w:rPr>
        <w:t xml:space="preserve">and not a contributing factor to abuse. </w:t>
      </w:r>
      <w:r w:rsidR="00F819C7">
        <w:rPr>
          <w:rFonts w:ascii="Public Sans" w:eastAsia="Times New Roman" w:hAnsi="Public Sans" w:cs="Segoe UI"/>
          <w:szCs w:val="24"/>
          <w:lang w:eastAsia="en-AU"/>
        </w:rPr>
        <w:t xml:space="preserve">Our work has highlighted </w:t>
      </w:r>
      <w:r w:rsidR="00397671">
        <w:rPr>
          <w:rFonts w:ascii="Public Sans" w:eastAsia="Times New Roman" w:hAnsi="Public Sans" w:cs="Segoe UI"/>
          <w:szCs w:val="24"/>
          <w:lang w:eastAsia="en-AU"/>
        </w:rPr>
        <w:t xml:space="preserve">numerous instances in which financial and other abuse of the adult with disability or older person has been facilitated by </w:t>
      </w:r>
      <w:r w:rsidR="00EA02D6">
        <w:rPr>
          <w:rFonts w:ascii="Public Sans" w:eastAsia="Times New Roman" w:hAnsi="Public Sans" w:cs="Segoe UI"/>
          <w:szCs w:val="24"/>
          <w:lang w:eastAsia="en-AU"/>
        </w:rPr>
        <w:t>nominee or other third party representation arrangements</w:t>
      </w:r>
      <w:r w:rsidR="00847D57">
        <w:rPr>
          <w:rFonts w:ascii="Public Sans" w:eastAsia="Times New Roman" w:hAnsi="Public Sans" w:cs="Segoe UI"/>
          <w:szCs w:val="24"/>
          <w:lang w:eastAsia="en-AU"/>
        </w:rPr>
        <w:t xml:space="preserve"> – including circumstances in which the adult has decision-making capability and had not nominated the third party (usually family member) as their representative</w:t>
      </w:r>
      <w:r w:rsidR="00EA02D6">
        <w:rPr>
          <w:rFonts w:ascii="Public Sans" w:eastAsia="Times New Roman" w:hAnsi="Public Sans" w:cs="Segoe UI"/>
          <w:szCs w:val="24"/>
          <w:lang w:eastAsia="en-AU"/>
        </w:rPr>
        <w:t xml:space="preserve">. </w:t>
      </w:r>
    </w:p>
    <w:p w:rsidR="00885080" w:rsidRDefault="00885080" w:rsidP="00DB08FC">
      <w:pPr>
        <w:widowControl w:val="0"/>
        <w:spacing w:after="0" w:line="240" w:lineRule="auto"/>
        <w:rPr>
          <w:rFonts w:ascii="Public Sans" w:eastAsia="Times New Roman" w:hAnsi="Public Sans" w:cs="Segoe UI"/>
          <w:szCs w:val="24"/>
          <w:lang w:eastAsia="en-AU"/>
        </w:rPr>
      </w:pPr>
    </w:p>
    <w:p w:rsidR="00885080" w:rsidRDefault="00885080" w:rsidP="00DB08FC">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We would welcome consideration in the development of the guidance of contemporary thinking in relation to capacity. In particular, moving </w:t>
      </w:r>
      <w:r w:rsidR="00C36A9F">
        <w:rPr>
          <w:rFonts w:ascii="Public Sans" w:eastAsia="Times New Roman" w:hAnsi="Public Sans" w:cs="Segoe UI"/>
          <w:szCs w:val="24"/>
          <w:lang w:eastAsia="en-AU"/>
        </w:rPr>
        <w:t xml:space="preserve">from ‘capacity’ </w:t>
      </w:r>
      <w:r>
        <w:rPr>
          <w:rFonts w:ascii="Public Sans" w:eastAsia="Times New Roman" w:hAnsi="Public Sans" w:cs="Segoe UI"/>
          <w:szCs w:val="24"/>
          <w:lang w:eastAsia="en-AU"/>
        </w:rPr>
        <w:t>to ‘decision-making capability’</w:t>
      </w:r>
      <w:r w:rsidR="00C36A9F">
        <w:rPr>
          <w:rFonts w:ascii="Public Sans" w:eastAsia="Times New Roman" w:hAnsi="Public Sans" w:cs="Segoe UI"/>
          <w:szCs w:val="24"/>
          <w:lang w:eastAsia="en-AU"/>
        </w:rPr>
        <w:t xml:space="preserve">, encompassing ability + supports and accommodations. Supported decision-making is an important element of this approach. </w:t>
      </w:r>
    </w:p>
    <w:p w:rsidR="00C36A9F" w:rsidRDefault="00C36A9F" w:rsidP="00DB08FC">
      <w:pPr>
        <w:widowControl w:val="0"/>
        <w:spacing w:after="0" w:line="240" w:lineRule="auto"/>
        <w:rPr>
          <w:rFonts w:ascii="Public Sans" w:eastAsia="Times New Roman" w:hAnsi="Public Sans" w:cs="Segoe UI"/>
          <w:szCs w:val="24"/>
          <w:lang w:eastAsia="en-AU"/>
        </w:rPr>
      </w:pPr>
    </w:p>
    <w:p w:rsidR="00C36A9F" w:rsidRDefault="00C36A9F" w:rsidP="00DB08FC">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We note that the Royal Commission </w:t>
      </w:r>
      <w:r w:rsidRPr="00AF17BD">
        <w:rPr>
          <w:rFonts w:ascii="Public Sans" w:eastAsia="Times New Roman" w:hAnsi="Public Sans" w:cs="Segoe UI"/>
          <w:szCs w:val="24"/>
          <w:lang w:eastAsia="en-AU"/>
        </w:rPr>
        <w:t>into Violence, Abuse, Neglect and Exploitation of People with Disability</w:t>
      </w:r>
      <w:r>
        <w:rPr>
          <w:rFonts w:ascii="Public Sans" w:eastAsia="Times New Roman" w:hAnsi="Public Sans" w:cs="Segoe UI"/>
          <w:szCs w:val="24"/>
          <w:lang w:eastAsia="en-AU"/>
        </w:rPr>
        <w:t xml:space="preserve"> may provide guidance on supported decision-making when it releases its final report in September. The recent </w:t>
      </w:r>
      <w:r w:rsidR="00352BEA">
        <w:rPr>
          <w:rFonts w:ascii="Public Sans" w:eastAsia="Times New Roman" w:hAnsi="Public Sans" w:cs="Segoe UI"/>
          <w:szCs w:val="24"/>
          <w:lang w:eastAsia="en-AU"/>
        </w:rPr>
        <w:t xml:space="preserve">research report on </w:t>
      </w:r>
      <w:r w:rsidR="00352BEA" w:rsidRPr="00352BEA">
        <w:rPr>
          <w:rFonts w:ascii="Public Sans" w:eastAsia="Times New Roman" w:hAnsi="Public Sans" w:cs="Segoe UI"/>
          <w:i/>
          <w:szCs w:val="24"/>
          <w:lang w:eastAsia="en-AU"/>
        </w:rPr>
        <w:t>Diversity, dignity, equity and best practice: a framework for supported decision-making</w:t>
      </w:r>
      <w:r w:rsidR="00352BEA">
        <w:rPr>
          <w:rFonts w:ascii="Public Sans" w:eastAsia="Times New Roman" w:hAnsi="Public Sans" w:cs="Segoe UI"/>
          <w:szCs w:val="24"/>
          <w:lang w:eastAsia="en-AU"/>
        </w:rPr>
        <w:t xml:space="preserve"> produced by the Living with Disability Research Centre at La Trobe University for the Disability Royal Commission may be helpful for informing the OAIC guidance. </w:t>
      </w:r>
    </w:p>
    <w:p w:rsidR="00352BEA" w:rsidRDefault="00352BEA" w:rsidP="00DB08FC">
      <w:pPr>
        <w:widowControl w:val="0"/>
        <w:spacing w:after="0" w:line="240" w:lineRule="auto"/>
        <w:rPr>
          <w:rFonts w:ascii="Public Sans" w:eastAsia="Times New Roman" w:hAnsi="Public Sans" w:cs="Segoe UI"/>
          <w:szCs w:val="24"/>
          <w:lang w:eastAsia="en-AU"/>
        </w:rPr>
      </w:pPr>
    </w:p>
    <w:p w:rsidR="00352BEA" w:rsidRDefault="00352BEA" w:rsidP="00DB08FC">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In our view, the OAIC guidance should be informed by people with disability and key </w:t>
      </w:r>
      <w:r>
        <w:rPr>
          <w:rFonts w:ascii="Public Sans" w:eastAsia="Times New Roman" w:hAnsi="Public Sans" w:cs="Segoe UI"/>
          <w:szCs w:val="24"/>
          <w:lang w:eastAsia="en-AU"/>
        </w:rPr>
        <w:lastRenderedPageBreak/>
        <w:t>stakeholders</w:t>
      </w:r>
      <w:r w:rsidR="00D67CCB">
        <w:rPr>
          <w:rFonts w:ascii="Public Sans" w:eastAsia="Times New Roman" w:hAnsi="Public Sans" w:cs="Segoe UI"/>
          <w:szCs w:val="24"/>
          <w:lang w:eastAsia="en-AU"/>
        </w:rPr>
        <w:t>, including the ADC and representatives of the other State and Territory adult safeguarding agencies</w:t>
      </w:r>
      <w:r>
        <w:rPr>
          <w:rFonts w:ascii="Public Sans" w:eastAsia="Times New Roman" w:hAnsi="Public Sans" w:cs="Segoe UI"/>
          <w:szCs w:val="24"/>
          <w:lang w:eastAsia="en-AU"/>
        </w:rPr>
        <w:t xml:space="preserve">. </w:t>
      </w:r>
    </w:p>
    <w:p w:rsidR="00397671" w:rsidRDefault="00397671" w:rsidP="00DB08FC">
      <w:pPr>
        <w:widowControl w:val="0"/>
        <w:spacing w:after="0" w:line="240" w:lineRule="auto"/>
        <w:rPr>
          <w:rFonts w:ascii="Public Sans" w:eastAsia="Times New Roman" w:hAnsi="Public Sans" w:cs="Segoe UI"/>
          <w:szCs w:val="24"/>
          <w:lang w:eastAsia="en-AU"/>
        </w:rPr>
      </w:pPr>
    </w:p>
    <w:p w:rsidR="00961CFB" w:rsidRPr="00D67CCB" w:rsidRDefault="00961CFB" w:rsidP="00DB08FC">
      <w:pPr>
        <w:widowControl w:val="0"/>
        <w:spacing w:after="0" w:line="240" w:lineRule="auto"/>
        <w:rPr>
          <w:rFonts w:ascii="Public Sans" w:eastAsia="Times New Roman" w:hAnsi="Public Sans" w:cs="Segoe UI"/>
          <w:i/>
          <w:szCs w:val="24"/>
          <w:lang w:val="en-US" w:eastAsia="en-AU"/>
        </w:rPr>
      </w:pPr>
      <w:r w:rsidRPr="00D67CCB">
        <w:rPr>
          <w:rFonts w:ascii="Public Sans" w:eastAsia="Times New Roman" w:hAnsi="Public Sans" w:cs="Segoe UI"/>
          <w:b/>
          <w:i/>
          <w:szCs w:val="24"/>
          <w:lang w:eastAsia="en-AU"/>
        </w:rPr>
        <w:t>Proposal 17.3</w:t>
      </w:r>
      <w:r w:rsidR="00AF17BD" w:rsidRPr="00D67CCB">
        <w:rPr>
          <w:rFonts w:ascii="Public Sans" w:eastAsia="Times New Roman" w:hAnsi="Public Sans" w:cs="Segoe UI"/>
          <w:b/>
          <w:i/>
          <w:szCs w:val="24"/>
          <w:lang w:eastAsia="en-AU"/>
        </w:rPr>
        <w:t>:</w:t>
      </w:r>
      <w:r w:rsidRPr="00D67CCB">
        <w:rPr>
          <w:rFonts w:ascii="Public Sans" w:eastAsia="Times New Roman" w:hAnsi="Public Sans" w:cs="Segoe UI"/>
          <w:b/>
          <w:i/>
          <w:szCs w:val="24"/>
          <w:lang w:eastAsia="en-AU"/>
        </w:rPr>
        <w:t xml:space="preserve"> </w:t>
      </w:r>
      <w:r w:rsidRPr="00D67CCB">
        <w:rPr>
          <w:rFonts w:ascii="Public Sans" w:eastAsia="Times New Roman" w:hAnsi="Public Sans" w:cs="Segoe UI"/>
          <w:i/>
          <w:szCs w:val="24"/>
          <w:lang w:val="en-US" w:eastAsia="en-AU"/>
        </w:rPr>
        <w:t>Further consultation should be undertaken to clarify the issues and identify options to ensure that financial institutions can act appropriately in the interests of customers who may be experiencing financial abuse or may no longer have capacity to consent.</w:t>
      </w:r>
    </w:p>
    <w:p w:rsidR="00DB08FC" w:rsidRDefault="00DB08FC" w:rsidP="00DB08FC">
      <w:pPr>
        <w:widowControl w:val="0"/>
        <w:spacing w:after="0" w:line="240" w:lineRule="auto"/>
        <w:rPr>
          <w:rFonts w:ascii="Public Sans" w:eastAsia="Times New Roman" w:hAnsi="Public Sans" w:cs="Segoe UI"/>
          <w:szCs w:val="24"/>
          <w:lang w:val="en-US" w:eastAsia="en-AU"/>
        </w:rPr>
      </w:pPr>
    </w:p>
    <w:p w:rsidR="00D67CCB" w:rsidRDefault="00A255E4" w:rsidP="00DB08FC">
      <w:pPr>
        <w:widowControl w:val="0"/>
        <w:spacing w:after="0" w:line="240" w:lineRule="auto"/>
        <w:rPr>
          <w:rFonts w:ascii="Public Sans" w:eastAsia="Times New Roman" w:hAnsi="Public Sans" w:cs="Segoe UI"/>
          <w:szCs w:val="24"/>
          <w:lang w:val="en-US" w:eastAsia="en-AU"/>
        </w:rPr>
      </w:pPr>
      <w:r>
        <w:rPr>
          <w:rFonts w:ascii="Public Sans" w:eastAsia="Times New Roman" w:hAnsi="Public Sans" w:cs="Segoe UI"/>
          <w:szCs w:val="24"/>
          <w:lang w:val="en-US" w:eastAsia="en-AU"/>
        </w:rPr>
        <w:t xml:space="preserve">We support this proposal. </w:t>
      </w:r>
      <w:r w:rsidR="00F16A88">
        <w:rPr>
          <w:rFonts w:ascii="Public Sans" w:eastAsia="Times New Roman" w:hAnsi="Public Sans" w:cs="Segoe UI"/>
          <w:szCs w:val="24"/>
          <w:lang w:val="en-US" w:eastAsia="en-AU"/>
        </w:rPr>
        <w:t>In light of t</w:t>
      </w:r>
      <w:r>
        <w:rPr>
          <w:rFonts w:ascii="Public Sans" w:eastAsia="Times New Roman" w:hAnsi="Public Sans" w:cs="Segoe UI"/>
          <w:szCs w:val="24"/>
          <w:lang w:val="en-US" w:eastAsia="en-AU"/>
        </w:rPr>
        <w:t xml:space="preserve">he </w:t>
      </w:r>
      <w:r w:rsidR="00F16A88">
        <w:rPr>
          <w:rFonts w:ascii="Public Sans" w:eastAsia="Times New Roman" w:hAnsi="Public Sans" w:cs="Segoe UI"/>
          <w:szCs w:val="24"/>
          <w:lang w:val="en-US" w:eastAsia="en-AU"/>
        </w:rPr>
        <w:t xml:space="preserve">significant </w:t>
      </w:r>
      <w:r>
        <w:rPr>
          <w:rFonts w:ascii="Public Sans" w:eastAsia="Times New Roman" w:hAnsi="Public Sans" w:cs="Segoe UI"/>
          <w:szCs w:val="24"/>
          <w:lang w:val="en-US" w:eastAsia="en-AU"/>
        </w:rPr>
        <w:t>impact of financial abuse on older people and adults with disability, including surv</w:t>
      </w:r>
      <w:r w:rsidR="00A40371">
        <w:rPr>
          <w:rFonts w:ascii="Public Sans" w:eastAsia="Times New Roman" w:hAnsi="Public Sans" w:cs="Segoe UI"/>
          <w:szCs w:val="24"/>
          <w:lang w:val="en-US" w:eastAsia="en-AU"/>
        </w:rPr>
        <w:t>ivors receiving NRS payments, we</w:t>
      </w:r>
      <w:r>
        <w:rPr>
          <w:rFonts w:ascii="Public Sans" w:eastAsia="Times New Roman" w:hAnsi="Public Sans" w:cs="Segoe UI"/>
          <w:szCs w:val="24"/>
          <w:lang w:val="en-US" w:eastAsia="en-AU"/>
        </w:rPr>
        <w:t xml:space="preserve"> consider that </w:t>
      </w:r>
      <w:r w:rsidR="00F16A88">
        <w:rPr>
          <w:rFonts w:ascii="Public Sans" w:eastAsia="Times New Roman" w:hAnsi="Public Sans" w:cs="Segoe UI"/>
          <w:szCs w:val="24"/>
          <w:lang w:val="en-US" w:eastAsia="en-AU"/>
        </w:rPr>
        <w:t xml:space="preserve">early </w:t>
      </w:r>
      <w:r>
        <w:rPr>
          <w:rFonts w:ascii="Public Sans" w:eastAsia="Times New Roman" w:hAnsi="Public Sans" w:cs="Segoe UI"/>
          <w:szCs w:val="24"/>
          <w:lang w:val="en-US" w:eastAsia="en-AU"/>
        </w:rPr>
        <w:t xml:space="preserve">action should </w:t>
      </w:r>
      <w:r w:rsidR="00F16A88">
        <w:rPr>
          <w:rFonts w:ascii="Public Sans" w:eastAsia="Times New Roman" w:hAnsi="Public Sans" w:cs="Segoe UI"/>
          <w:szCs w:val="24"/>
          <w:lang w:val="en-US" w:eastAsia="en-AU"/>
        </w:rPr>
        <w:t>be taken to progress the consultation</w:t>
      </w:r>
      <w:r>
        <w:rPr>
          <w:rFonts w:ascii="Public Sans" w:eastAsia="Times New Roman" w:hAnsi="Public Sans" w:cs="Segoe UI"/>
          <w:szCs w:val="24"/>
          <w:lang w:val="en-US" w:eastAsia="en-AU"/>
        </w:rPr>
        <w:t xml:space="preserve">. </w:t>
      </w:r>
    </w:p>
    <w:p w:rsidR="00C56186" w:rsidRDefault="00C56186" w:rsidP="00DB08FC">
      <w:pPr>
        <w:widowControl w:val="0"/>
        <w:spacing w:after="0" w:line="240" w:lineRule="auto"/>
        <w:rPr>
          <w:rFonts w:ascii="Public Sans" w:eastAsia="Times New Roman" w:hAnsi="Public Sans" w:cs="Segoe UI"/>
          <w:szCs w:val="24"/>
          <w:lang w:val="en-US" w:eastAsia="en-AU"/>
        </w:rPr>
      </w:pPr>
    </w:p>
    <w:p w:rsidR="00C56186" w:rsidRDefault="00C56186" w:rsidP="00C56186">
      <w:pPr>
        <w:widowControl w:val="0"/>
        <w:spacing w:after="0" w:line="240" w:lineRule="auto"/>
        <w:rPr>
          <w:rFonts w:ascii="Public Sans" w:hAnsi="Public Sans" w:cs="Segoe UI"/>
        </w:rPr>
      </w:pPr>
      <w:r>
        <w:rPr>
          <w:rFonts w:ascii="Public Sans" w:hAnsi="Public Sans" w:cs="Segoe UI"/>
        </w:rPr>
        <w:t xml:space="preserve">It is critical that actions are taken as early as possible in response to identified or suspected financial abuse of older people and adults with disability. This includes parties being able to safely contact the adult to discuss the concerns and safeguarding options, and </w:t>
      </w:r>
      <w:r w:rsidR="009E1BB6">
        <w:rPr>
          <w:rFonts w:ascii="Public Sans" w:hAnsi="Public Sans" w:cs="Segoe UI"/>
        </w:rPr>
        <w:t xml:space="preserve">in relevant cases </w:t>
      </w:r>
      <w:r>
        <w:rPr>
          <w:rFonts w:ascii="Public Sans" w:hAnsi="Public Sans" w:cs="Segoe UI"/>
        </w:rPr>
        <w:t xml:space="preserve">to </w:t>
      </w:r>
      <w:r w:rsidR="00127258">
        <w:rPr>
          <w:rFonts w:ascii="Public Sans" w:hAnsi="Public Sans" w:cs="Segoe UI"/>
        </w:rPr>
        <w:t>refer matters to</w:t>
      </w:r>
      <w:r>
        <w:rPr>
          <w:rFonts w:ascii="Public Sans" w:hAnsi="Public Sans" w:cs="Segoe UI"/>
        </w:rPr>
        <w:t xml:space="preserve"> </w:t>
      </w:r>
      <w:r w:rsidR="009E1BB6">
        <w:rPr>
          <w:rFonts w:ascii="Public Sans" w:hAnsi="Public Sans" w:cs="Segoe UI"/>
        </w:rPr>
        <w:t xml:space="preserve">adult </w:t>
      </w:r>
      <w:r>
        <w:rPr>
          <w:rFonts w:ascii="Public Sans" w:hAnsi="Public Sans" w:cs="Segoe UI"/>
        </w:rPr>
        <w:t xml:space="preserve">safeguarding bodies </w:t>
      </w:r>
      <w:r w:rsidR="009E1BB6">
        <w:rPr>
          <w:rFonts w:ascii="Public Sans" w:hAnsi="Public Sans" w:cs="Segoe UI"/>
        </w:rPr>
        <w:t>who may be able to investigate</w:t>
      </w:r>
      <w:r>
        <w:rPr>
          <w:rFonts w:ascii="Public Sans" w:hAnsi="Public Sans" w:cs="Segoe UI"/>
        </w:rPr>
        <w:t xml:space="preserve">. However, the restrictive provisions in </w:t>
      </w:r>
      <w:r w:rsidR="00A2466B">
        <w:rPr>
          <w:rFonts w:ascii="Public Sans" w:hAnsi="Public Sans" w:cs="Segoe UI"/>
        </w:rPr>
        <w:t>the Privacy Act</w:t>
      </w:r>
      <w:r>
        <w:rPr>
          <w:rFonts w:ascii="Public Sans" w:hAnsi="Public Sans" w:cs="Segoe UI"/>
        </w:rPr>
        <w:t xml:space="preserve"> present a barrier to key parties, including banks and other financial institutions, taking </w:t>
      </w:r>
      <w:r w:rsidR="00127258">
        <w:rPr>
          <w:rFonts w:ascii="Public Sans" w:hAnsi="Public Sans" w:cs="Segoe UI"/>
        </w:rPr>
        <w:t>necessary</w:t>
      </w:r>
      <w:r>
        <w:rPr>
          <w:rFonts w:ascii="Public Sans" w:hAnsi="Public Sans" w:cs="Segoe UI"/>
        </w:rPr>
        <w:t xml:space="preserve"> actions to support </w:t>
      </w:r>
      <w:r w:rsidR="00A2466B">
        <w:rPr>
          <w:rFonts w:ascii="Public Sans" w:hAnsi="Public Sans" w:cs="Segoe UI"/>
        </w:rPr>
        <w:t xml:space="preserve">adults subject to, or at risk of, financial abuse. </w:t>
      </w:r>
      <w:r>
        <w:rPr>
          <w:rFonts w:ascii="Public Sans" w:hAnsi="Public Sans" w:cs="Segoe UI"/>
        </w:rPr>
        <w:t xml:space="preserve"> </w:t>
      </w:r>
    </w:p>
    <w:p w:rsidR="00FE0D3C" w:rsidRDefault="00FE0D3C" w:rsidP="00C56186">
      <w:pPr>
        <w:widowControl w:val="0"/>
        <w:spacing w:after="0" w:line="240" w:lineRule="auto"/>
        <w:rPr>
          <w:rFonts w:ascii="Public Sans" w:hAnsi="Public Sans" w:cs="Segoe UI"/>
        </w:rPr>
      </w:pPr>
    </w:p>
    <w:p w:rsidR="00FE0D3C" w:rsidRDefault="00FE0D3C" w:rsidP="00FE0D3C">
      <w:pPr>
        <w:spacing w:after="0" w:line="240" w:lineRule="auto"/>
        <w:rPr>
          <w:rFonts w:ascii="Public Sans" w:hAnsi="Public Sans" w:cs="Segoe UI"/>
          <w:bCs/>
        </w:rPr>
      </w:pPr>
      <w:r>
        <w:rPr>
          <w:rFonts w:ascii="Public Sans" w:hAnsi="Public Sans" w:cs="Segoe UI"/>
          <w:bCs/>
        </w:rPr>
        <w:t xml:space="preserve">The ADC notes the submission by the Australian Banking Association (ABA) and consumer representatives to the review, identifying that </w:t>
      </w:r>
      <w:r w:rsidRPr="009866A7">
        <w:rPr>
          <w:rFonts w:ascii="Public Sans" w:hAnsi="Public Sans" w:cs="Segoe UI"/>
          <w:bCs/>
        </w:rPr>
        <w:t xml:space="preserve">there are limited circumstances in which </w:t>
      </w:r>
      <w:r>
        <w:rPr>
          <w:rFonts w:ascii="Public Sans" w:hAnsi="Public Sans" w:cs="Segoe UI"/>
          <w:bCs/>
        </w:rPr>
        <w:t>banks are</w:t>
      </w:r>
      <w:r w:rsidRPr="009866A7">
        <w:rPr>
          <w:rFonts w:ascii="Public Sans" w:hAnsi="Public Sans" w:cs="Segoe UI"/>
          <w:bCs/>
        </w:rPr>
        <w:t xml:space="preserve"> able to use or disclose personal information for the purposes</w:t>
      </w:r>
      <w:r>
        <w:rPr>
          <w:rFonts w:ascii="Public Sans" w:hAnsi="Public Sans" w:cs="Segoe UI"/>
          <w:bCs/>
        </w:rPr>
        <w:t xml:space="preserve"> of reporting suspected financial abuse</w:t>
      </w:r>
      <w:r w:rsidRPr="009866A7">
        <w:rPr>
          <w:rFonts w:ascii="Public Sans" w:hAnsi="Public Sans" w:cs="Segoe UI"/>
          <w:bCs/>
        </w:rPr>
        <w:t>, without express and informed consent</w:t>
      </w:r>
      <w:r>
        <w:rPr>
          <w:rFonts w:ascii="Public Sans" w:hAnsi="Public Sans" w:cs="Segoe UI"/>
          <w:bCs/>
        </w:rPr>
        <w:t xml:space="preserve"> of the individual. </w:t>
      </w:r>
    </w:p>
    <w:p w:rsidR="00C56186" w:rsidRDefault="00C56186" w:rsidP="00C56186">
      <w:pPr>
        <w:widowControl w:val="0"/>
        <w:spacing w:after="0" w:line="240" w:lineRule="auto"/>
        <w:rPr>
          <w:rFonts w:ascii="Public Sans" w:hAnsi="Public Sans" w:cs="Segoe UI"/>
        </w:rPr>
      </w:pPr>
    </w:p>
    <w:p w:rsidR="004111BC" w:rsidRDefault="00FB30B2" w:rsidP="00C56186">
      <w:pPr>
        <w:widowControl w:val="0"/>
        <w:spacing w:after="0" w:line="240" w:lineRule="auto"/>
        <w:rPr>
          <w:rFonts w:ascii="Public Sans" w:hAnsi="Public Sans" w:cs="Segoe UI"/>
        </w:rPr>
      </w:pPr>
      <w:r>
        <w:rPr>
          <w:rFonts w:ascii="Public Sans" w:hAnsi="Public Sans" w:cs="Segoe UI"/>
        </w:rPr>
        <w:t xml:space="preserve">Under section 16A, Item 1 of the Privacy Act, </w:t>
      </w:r>
      <w:r w:rsidR="00A2466B">
        <w:rPr>
          <w:rFonts w:ascii="Public Sans" w:hAnsi="Public Sans" w:cs="Segoe UI"/>
        </w:rPr>
        <w:t xml:space="preserve">a permitted general situation for </w:t>
      </w:r>
      <w:r>
        <w:rPr>
          <w:rFonts w:ascii="Public Sans" w:hAnsi="Public Sans" w:cs="Segoe UI"/>
        </w:rPr>
        <w:t xml:space="preserve">an APP entity </w:t>
      </w:r>
      <w:r w:rsidR="004111BC">
        <w:rPr>
          <w:rFonts w:ascii="Public Sans" w:hAnsi="Public Sans" w:cs="Segoe UI"/>
        </w:rPr>
        <w:t xml:space="preserve">collecting, </w:t>
      </w:r>
      <w:r w:rsidR="00A2466B">
        <w:rPr>
          <w:rFonts w:ascii="Public Sans" w:hAnsi="Public Sans" w:cs="Segoe UI"/>
        </w:rPr>
        <w:t xml:space="preserve">using or disclosing </w:t>
      </w:r>
      <w:r w:rsidR="004111BC">
        <w:rPr>
          <w:rFonts w:ascii="Public Sans" w:hAnsi="Public Sans" w:cs="Segoe UI"/>
        </w:rPr>
        <w:t>personal information includes when:</w:t>
      </w:r>
    </w:p>
    <w:p w:rsidR="00A2466B" w:rsidRDefault="004111BC" w:rsidP="004111BC">
      <w:pPr>
        <w:pStyle w:val="ListParagraph"/>
        <w:widowControl w:val="0"/>
        <w:numPr>
          <w:ilvl w:val="0"/>
          <w:numId w:val="13"/>
        </w:numPr>
        <w:spacing w:after="0" w:line="240" w:lineRule="auto"/>
        <w:rPr>
          <w:rFonts w:ascii="Public Sans" w:hAnsi="Public Sans" w:cs="Segoe UI"/>
        </w:rPr>
      </w:pPr>
      <w:r w:rsidRPr="004111BC">
        <w:rPr>
          <w:rFonts w:ascii="Public Sans" w:hAnsi="Public Sans" w:cs="Segoe UI"/>
        </w:rPr>
        <w:t xml:space="preserve">it is </w:t>
      </w:r>
      <w:r>
        <w:rPr>
          <w:rFonts w:ascii="Public Sans" w:hAnsi="Public Sans" w:cs="Segoe UI"/>
        </w:rPr>
        <w:t>unreasonable or impracticable to obtain the individual’s consent to the collection, use or disclosure, and</w:t>
      </w:r>
    </w:p>
    <w:p w:rsidR="004111BC" w:rsidRPr="004111BC" w:rsidRDefault="004111BC" w:rsidP="004111BC">
      <w:pPr>
        <w:pStyle w:val="ListParagraph"/>
        <w:widowControl w:val="0"/>
        <w:numPr>
          <w:ilvl w:val="0"/>
          <w:numId w:val="13"/>
        </w:numPr>
        <w:spacing w:after="0" w:line="240" w:lineRule="auto"/>
        <w:rPr>
          <w:rFonts w:ascii="Public Sans" w:hAnsi="Public Sans" w:cs="Segoe UI"/>
        </w:rPr>
      </w:pPr>
      <w:r>
        <w:rPr>
          <w:rFonts w:ascii="Public Sans" w:hAnsi="Public Sans" w:cs="Segoe UI"/>
        </w:rPr>
        <w:t>the entity reasonably believes that the collection, use or disclosure is necessary to lessen or prevent a serious threat to the life, health or safety or any individual, or to public health or safety</w:t>
      </w:r>
      <w:r w:rsidR="00FB30B2">
        <w:rPr>
          <w:rFonts w:ascii="Public Sans" w:hAnsi="Public Sans" w:cs="Segoe UI"/>
        </w:rPr>
        <w:t>.</w:t>
      </w:r>
      <w:r>
        <w:rPr>
          <w:rFonts w:ascii="Public Sans" w:hAnsi="Public Sans" w:cs="Segoe UI"/>
        </w:rPr>
        <w:t xml:space="preserve"> </w:t>
      </w:r>
    </w:p>
    <w:p w:rsidR="004111BC" w:rsidRDefault="004111BC" w:rsidP="00C56186">
      <w:pPr>
        <w:widowControl w:val="0"/>
        <w:spacing w:after="0" w:line="240" w:lineRule="auto"/>
        <w:rPr>
          <w:rFonts w:ascii="Public Sans" w:hAnsi="Public Sans" w:cs="Segoe UI"/>
        </w:rPr>
      </w:pPr>
    </w:p>
    <w:p w:rsidR="00FB30B2" w:rsidRDefault="00FB30B2" w:rsidP="00C56186">
      <w:pPr>
        <w:widowControl w:val="0"/>
        <w:spacing w:after="0" w:line="240" w:lineRule="auto"/>
        <w:rPr>
          <w:rFonts w:ascii="Public Sans" w:hAnsi="Public Sans" w:cs="Segoe UI"/>
        </w:rPr>
      </w:pPr>
      <w:r>
        <w:rPr>
          <w:rFonts w:ascii="Public Sans" w:hAnsi="Public Sans" w:cs="Segoe UI"/>
        </w:rPr>
        <w:t xml:space="preserve">However, </w:t>
      </w:r>
      <w:r w:rsidR="008B2F1C">
        <w:rPr>
          <w:rFonts w:ascii="Public Sans" w:hAnsi="Public Sans" w:cs="Segoe UI"/>
        </w:rPr>
        <w:t>this does not adequately cover financial abuse. T</w:t>
      </w:r>
      <w:r>
        <w:rPr>
          <w:rFonts w:ascii="Public Sans" w:hAnsi="Public Sans" w:cs="Segoe UI"/>
        </w:rPr>
        <w:t>he Office of the Australian Information Commissioner (OAIC) APP Guidelines identify that threat to life, health or safety ‘can include a threat to a person’s physical or mental health and safety. It could include a potentially life threatening situation or one that might reasonably result in other serious injury or illness. The permitted general situation would not ordinarily extend to a threat to an individual’s finances or reputation.’</w:t>
      </w:r>
      <w:r w:rsidR="00234137">
        <w:rPr>
          <w:rStyle w:val="FootnoteReference"/>
          <w:rFonts w:ascii="Public Sans" w:hAnsi="Public Sans" w:cs="Segoe UI"/>
        </w:rPr>
        <w:footnoteReference w:id="2"/>
      </w:r>
    </w:p>
    <w:p w:rsidR="00FB30B2" w:rsidRDefault="00FB30B2" w:rsidP="00C56186">
      <w:pPr>
        <w:widowControl w:val="0"/>
        <w:spacing w:after="0" w:line="240" w:lineRule="auto"/>
        <w:rPr>
          <w:rFonts w:ascii="Public Sans" w:hAnsi="Public Sans" w:cs="Segoe UI"/>
        </w:rPr>
      </w:pPr>
    </w:p>
    <w:p w:rsidR="00C56186" w:rsidRDefault="00C56186" w:rsidP="00C56186">
      <w:pPr>
        <w:widowControl w:val="0"/>
        <w:spacing w:after="0" w:line="240" w:lineRule="auto"/>
        <w:rPr>
          <w:rFonts w:ascii="Public Sans" w:hAnsi="Public Sans" w:cs="Segoe UI"/>
        </w:rPr>
      </w:pPr>
      <w:r>
        <w:rPr>
          <w:rFonts w:ascii="Public Sans" w:hAnsi="Public Sans" w:cs="Segoe UI"/>
        </w:rPr>
        <w:t xml:space="preserve">In our experience, the impact and effects of financial abuse are devastating, with significant and ongoing consequences for the adult with disability or older person. All efforts should be made to remove barriers to enable banks and financial institutions to </w:t>
      </w:r>
      <w:r w:rsidR="008B2F1C">
        <w:rPr>
          <w:rFonts w:ascii="Public Sans" w:hAnsi="Public Sans" w:cs="Segoe UI"/>
        </w:rPr>
        <w:t xml:space="preserve">take necessary actions, including to provide information to </w:t>
      </w:r>
      <w:r w:rsidR="009E1BB6">
        <w:rPr>
          <w:rFonts w:ascii="Public Sans" w:hAnsi="Public Sans" w:cs="Segoe UI"/>
        </w:rPr>
        <w:t xml:space="preserve">adult </w:t>
      </w:r>
      <w:r w:rsidR="008B2F1C">
        <w:rPr>
          <w:rFonts w:ascii="Public Sans" w:hAnsi="Public Sans" w:cs="Segoe UI"/>
        </w:rPr>
        <w:t>safeguarding</w:t>
      </w:r>
      <w:r w:rsidR="009E1BB6">
        <w:rPr>
          <w:rFonts w:ascii="Public Sans" w:hAnsi="Public Sans" w:cs="Segoe UI"/>
        </w:rPr>
        <w:t xml:space="preserve"> and other investigative</w:t>
      </w:r>
      <w:r w:rsidR="008B2F1C">
        <w:rPr>
          <w:rFonts w:ascii="Public Sans" w:hAnsi="Public Sans" w:cs="Segoe UI"/>
        </w:rPr>
        <w:t xml:space="preserve"> agencies, </w:t>
      </w:r>
      <w:r>
        <w:rPr>
          <w:rFonts w:ascii="Public Sans" w:hAnsi="Public Sans" w:cs="Segoe UI"/>
        </w:rPr>
        <w:t>where they identify or suspect that the customer may be subject to financial abuse</w:t>
      </w:r>
      <w:r w:rsidR="008B2F1C">
        <w:rPr>
          <w:rFonts w:ascii="Public Sans" w:hAnsi="Public Sans" w:cs="Segoe UI"/>
        </w:rPr>
        <w:t>, and it is unreasonable or impracticable to obtain the customer’s consent</w:t>
      </w:r>
      <w:r>
        <w:rPr>
          <w:rFonts w:ascii="Public Sans" w:hAnsi="Public Sans" w:cs="Segoe UI"/>
        </w:rPr>
        <w:t xml:space="preserve">. </w:t>
      </w:r>
    </w:p>
    <w:p w:rsidR="000C789E" w:rsidRDefault="000C789E" w:rsidP="00127258">
      <w:pPr>
        <w:spacing w:after="0" w:line="240" w:lineRule="auto"/>
        <w:rPr>
          <w:rFonts w:ascii="Public Sans" w:hAnsi="Public Sans" w:cs="Segoe UI"/>
          <w:bCs/>
        </w:rPr>
      </w:pPr>
    </w:p>
    <w:p w:rsidR="000C789E" w:rsidRPr="000C789E" w:rsidRDefault="000C789E" w:rsidP="00127258">
      <w:pPr>
        <w:spacing w:after="0" w:line="240" w:lineRule="auto"/>
        <w:rPr>
          <w:rFonts w:ascii="Public Sans" w:hAnsi="Public Sans" w:cs="Segoe UI"/>
          <w:bCs/>
        </w:rPr>
      </w:pPr>
      <w:r>
        <w:rPr>
          <w:rFonts w:ascii="Public Sans" w:hAnsi="Public Sans" w:cs="Segoe UI"/>
          <w:bCs/>
        </w:rPr>
        <w:t xml:space="preserve">Section 13(4) and section 15 of the </w:t>
      </w:r>
      <w:r w:rsidRPr="00AF17BD">
        <w:rPr>
          <w:rFonts w:ascii="Public Sans" w:hAnsi="Public Sans" w:cs="Segoe UI"/>
          <w:bCs/>
          <w:i/>
        </w:rPr>
        <w:t>NSW Ageing and Disability Commissioner Act 2019</w:t>
      </w:r>
      <w:r>
        <w:rPr>
          <w:rFonts w:ascii="Public Sans" w:hAnsi="Public Sans" w:cs="Segoe UI"/>
          <w:bCs/>
          <w:i/>
        </w:rPr>
        <w:t xml:space="preserve"> [NSW]</w:t>
      </w:r>
      <w:r>
        <w:rPr>
          <w:rFonts w:ascii="Public Sans" w:hAnsi="Public Sans" w:cs="Segoe UI"/>
          <w:bCs/>
        </w:rPr>
        <w:t xml:space="preserve"> provides protections for persons who make a report to the ADC in good faith, including that they are not liable to any civil or criminal action, or any disciplinary action, for making the report. </w:t>
      </w:r>
      <w:r w:rsidR="00DC2FE5">
        <w:rPr>
          <w:rFonts w:ascii="Public Sans" w:hAnsi="Public Sans" w:cs="Segoe UI"/>
          <w:bCs/>
        </w:rPr>
        <w:t xml:space="preserve">However, notwithstanding these protections, in our experience banks are reluctant to make reports even where there is reasonable suspicion that financial abuse is occurring, due to the current restrictions of the Privacy Act and </w:t>
      </w:r>
      <w:r w:rsidR="00B95156">
        <w:rPr>
          <w:rFonts w:ascii="Public Sans" w:hAnsi="Public Sans" w:cs="Segoe UI"/>
          <w:bCs/>
        </w:rPr>
        <w:t xml:space="preserve">the APP Guidelines. </w:t>
      </w:r>
    </w:p>
    <w:p w:rsidR="009E1BB6" w:rsidRDefault="009E1BB6" w:rsidP="00127258">
      <w:pPr>
        <w:spacing w:after="0" w:line="240" w:lineRule="auto"/>
        <w:rPr>
          <w:rFonts w:ascii="Public Sans" w:hAnsi="Public Sans" w:cs="Segoe UI"/>
          <w:bCs/>
        </w:rPr>
      </w:pPr>
    </w:p>
    <w:p w:rsidR="00127258" w:rsidRDefault="00127258" w:rsidP="00234137">
      <w:pPr>
        <w:widowControl w:val="0"/>
        <w:spacing w:after="0" w:line="240" w:lineRule="auto"/>
        <w:rPr>
          <w:rFonts w:ascii="Public Sans" w:hAnsi="Public Sans" w:cs="Segoe UI"/>
        </w:rPr>
      </w:pPr>
    </w:p>
    <w:p w:rsidR="00127258" w:rsidRDefault="00127258" w:rsidP="00234137">
      <w:pPr>
        <w:widowControl w:val="0"/>
        <w:spacing w:after="0" w:line="240" w:lineRule="auto"/>
        <w:rPr>
          <w:rFonts w:ascii="Public Sans" w:hAnsi="Public Sans" w:cs="Segoe UI"/>
        </w:rPr>
      </w:pPr>
    </w:p>
    <w:p w:rsidR="00127258" w:rsidRDefault="00127258" w:rsidP="00234137">
      <w:pPr>
        <w:widowControl w:val="0"/>
        <w:spacing w:after="0" w:line="240" w:lineRule="auto"/>
        <w:rPr>
          <w:rFonts w:ascii="Public Sans" w:hAnsi="Public Sans" w:cs="Segoe UI"/>
        </w:rPr>
      </w:pPr>
    </w:p>
    <w:p w:rsidR="00234137" w:rsidRDefault="00234137" w:rsidP="00234137">
      <w:pPr>
        <w:widowControl w:val="0"/>
        <w:spacing w:after="0" w:line="240" w:lineRule="auto"/>
        <w:rPr>
          <w:rFonts w:ascii="Public Sans" w:hAnsi="Public Sans" w:cs="Segoe UI"/>
        </w:rPr>
      </w:pPr>
      <w:r>
        <w:rPr>
          <w:rFonts w:ascii="Public Sans" w:hAnsi="Public Sans" w:cs="Segoe UI"/>
        </w:rPr>
        <w:t>In our view, there are a number of ways this issue could be resolved, including (but not limited to):</w:t>
      </w:r>
    </w:p>
    <w:p w:rsidR="00234137" w:rsidRDefault="00B95156" w:rsidP="00234137">
      <w:pPr>
        <w:pStyle w:val="ListParagraph"/>
        <w:widowControl w:val="0"/>
        <w:numPr>
          <w:ilvl w:val="0"/>
          <w:numId w:val="12"/>
        </w:numPr>
        <w:spacing w:before="60" w:after="0" w:line="240" w:lineRule="auto"/>
        <w:ind w:left="714" w:hanging="357"/>
        <w:contextualSpacing w:val="0"/>
        <w:rPr>
          <w:rFonts w:ascii="Public Sans" w:hAnsi="Public Sans" w:cs="Segoe UI"/>
        </w:rPr>
      </w:pPr>
      <w:r>
        <w:rPr>
          <w:rFonts w:ascii="Public Sans" w:hAnsi="Public Sans" w:cs="Segoe UI"/>
        </w:rPr>
        <w:t>amending the APP guidelines to include financial abuse within the scope of</w:t>
      </w:r>
      <w:r w:rsidR="00234137">
        <w:rPr>
          <w:rFonts w:ascii="Public Sans" w:hAnsi="Public Sans" w:cs="Segoe UI"/>
        </w:rPr>
        <w:t xml:space="preserve"> a ‘serious threat to an individual’s life, health or safety’ </w:t>
      </w:r>
      <w:r>
        <w:rPr>
          <w:rFonts w:ascii="Public Sans" w:hAnsi="Public Sans" w:cs="Segoe UI"/>
        </w:rPr>
        <w:t>under section 16A</w:t>
      </w:r>
    </w:p>
    <w:p w:rsidR="00234137" w:rsidRPr="00BC6D2B" w:rsidRDefault="00234137" w:rsidP="00234137">
      <w:pPr>
        <w:pStyle w:val="ListParagraph"/>
        <w:widowControl w:val="0"/>
        <w:numPr>
          <w:ilvl w:val="0"/>
          <w:numId w:val="12"/>
        </w:numPr>
        <w:spacing w:before="60" w:after="0" w:line="240" w:lineRule="auto"/>
        <w:ind w:left="714" w:hanging="357"/>
        <w:contextualSpacing w:val="0"/>
        <w:rPr>
          <w:rFonts w:ascii="Public Sans" w:hAnsi="Public Sans" w:cs="Segoe UI"/>
        </w:rPr>
      </w:pPr>
      <w:r>
        <w:rPr>
          <w:rFonts w:ascii="Public Sans" w:hAnsi="Public Sans" w:cs="Segoe UI"/>
        </w:rPr>
        <w:t xml:space="preserve">amending the </w:t>
      </w:r>
      <w:r w:rsidR="00B95156">
        <w:rPr>
          <w:rFonts w:ascii="Public Sans" w:hAnsi="Public Sans" w:cs="Segoe UI"/>
        </w:rPr>
        <w:t xml:space="preserve">Privacy </w:t>
      </w:r>
      <w:r>
        <w:rPr>
          <w:rFonts w:ascii="Public Sans" w:hAnsi="Public Sans" w:cs="Segoe UI"/>
        </w:rPr>
        <w:t>Act to ensure that serious threat to an individual’s financial circumstances is included in section</w:t>
      </w:r>
      <w:r w:rsidR="00B95156">
        <w:rPr>
          <w:rFonts w:ascii="Public Sans" w:hAnsi="Public Sans" w:cs="Segoe UI"/>
        </w:rPr>
        <w:t xml:space="preserve"> 16A</w:t>
      </w:r>
      <w:r>
        <w:rPr>
          <w:rFonts w:ascii="Public Sans" w:hAnsi="Public Sans" w:cs="Segoe UI"/>
        </w:rPr>
        <w:t>.</w:t>
      </w:r>
    </w:p>
    <w:p w:rsidR="00234137" w:rsidRDefault="00234137" w:rsidP="00234137">
      <w:pPr>
        <w:widowControl w:val="0"/>
        <w:spacing w:after="0" w:line="240" w:lineRule="auto"/>
        <w:rPr>
          <w:rFonts w:ascii="Public Sans" w:hAnsi="Public Sans" w:cs="Segoe UI"/>
        </w:rPr>
      </w:pPr>
    </w:p>
    <w:p w:rsidR="00B95156" w:rsidRDefault="00B95156" w:rsidP="00B95156">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Given the issues, in our view the further consultation recommended in proposal 17.3 should include the ADC and representatives of the other State and Territory adult safeguarding agencies</w:t>
      </w:r>
      <w:r w:rsidR="00F16A88">
        <w:rPr>
          <w:rFonts w:ascii="Public Sans" w:eastAsia="Times New Roman" w:hAnsi="Public Sans" w:cs="Segoe UI"/>
          <w:szCs w:val="24"/>
          <w:lang w:eastAsia="en-AU"/>
        </w:rPr>
        <w:t>,</w:t>
      </w:r>
      <w:r w:rsidR="00F16A88">
        <w:rPr>
          <w:rStyle w:val="FootnoteReference"/>
          <w:rFonts w:ascii="Public Sans" w:eastAsia="Times New Roman" w:hAnsi="Public Sans" w:cs="Segoe UI"/>
          <w:szCs w:val="24"/>
          <w:lang w:eastAsia="en-AU"/>
        </w:rPr>
        <w:footnoteReference w:id="3"/>
      </w:r>
      <w:r w:rsidR="00F16A88">
        <w:rPr>
          <w:rFonts w:ascii="Public Sans" w:eastAsia="Times New Roman" w:hAnsi="Public Sans" w:cs="Segoe UI"/>
          <w:szCs w:val="24"/>
          <w:lang w:eastAsia="en-AU"/>
        </w:rPr>
        <w:t xml:space="preserve"> and should occur as a matter of priority. </w:t>
      </w:r>
      <w:r>
        <w:rPr>
          <w:rFonts w:ascii="Public Sans" w:eastAsia="Times New Roman" w:hAnsi="Public Sans" w:cs="Segoe UI"/>
          <w:szCs w:val="24"/>
          <w:lang w:eastAsia="en-AU"/>
        </w:rPr>
        <w:t xml:space="preserve"> </w:t>
      </w:r>
    </w:p>
    <w:p w:rsidR="00B95156" w:rsidRDefault="00B95156" w:rsidP="00234137">
      <w:pPr>
        <w:widowControl w:val="0"/>
        <w:spacing w:after="0" w:line="240" w:lineRule="auto"/>
        <w:rPr>
          <w:rFonts w:ascii="Public Sans" w:hAnsi="Public Sans" w:cs="Segoe UI"/>
        </w:rPr>
      </w:pPr>
    </w:p>
    <w:p w:rsidR="00494735" w:rsidRPr="00565EC0" w:rsidRDefault="00494735" w:rsidP="00843A10">
      <w:pPr>
        <w:spacing w:after="0" w:line="240" w:lineRule="auto"/>
        <w:rPr>
          <w:rFonts w:ascii="Public Sans" w:hAnsi="Public Sans" w:cs="Segoe UI"/>
        </w:rPr>
      </w:pPr>
      <w:r w:rsidRPr="00565EC0">
        <w:rPr>
          <w:rFonts w:ascii="Public Sans" w:hAnsi="Public Sans" w:cs="Segoe UI"/>
        </w:rPr>
        <w:t>Thank you for the opportunity t</w:t>
      </w:r>
      <w:r>
        <w:rPr>
          <w:rFonts w:ascii="Public Sans" w:hAnsi="Public Sans" w:cs="Segoe UI"/>
        </w:rPr>
        <w:t>o make a submission on this</w:t>
      </w:r>
      <w:r w:rsidRPr="00565EC0">
        <w:rPr>
          <w:rFonts w:ascii="Public Sans" w:hAnsi="Public Sans" w:cs="Segoe UI"/>
        </w:rPr>
        <w:t xml:space="preserve"> important issue. Please do not hesitate to contact</w:t>
      </w:r>
      <w:r>
        <w:rPr>
          <w:rFonts w:ascii="Public Sans" w:hAnsi="Public Sans" w:cs="Segoe UI"/>
        </w:rPr>
        <w:t xml:space="preserve"> </w:t>
      </w:r>
      <w:r w:rsidRPr="00565EC0">
        <w:rPr>
          <w:rFonts w:ascii="Public Sans" w:hAnsi="Public Sans" w:cs="Segoe UI"/>
        </w:rPr>
        <w:t xml:space="preserve">Rory O’Neill, Principal Projects Officer, on 9407 1825 or </w:t>
      </w:r>
      <w:hyperlink r:id="rId10" w:history="1">
        <w:r w:rsidR="00662F9C" w:rsidRPr="00A56B86">
          <w:rPr>
            <w:rStyle w:val="Hyperlink"/>
            <w:rFonts w:ascii="Public Sans" w:hAnsi="Public Sans"/>
          </w:rPr>
          <w:t>rory.oneill</w:t>
        </w:r>
        <w:r w:rsidR="00662F9C" w:rsidRPr="00A56B86">
          <w:rPr>
            <w:rStyle w:val="Hyperlink"/>
            <w:rFonts w:ascii="Public Sans" w:hAnsi="Public Sans" w:cs="Segoe UI"/>
          </w:rPr>
          <w:t>@adc.nsw.gov.au</w:t>
        </w:r>
      </w:hyperlink>
      <w:r w:rsidRPr="00565EC0">
        <w:rPr>
          <w:rStyle w:val="Hyperlink"/>
          <w:rFonts w:ascii="Public Sans" w:hAnsi="Public Sans" w:cs="Segoe UI"/>
          <w:u w:val="none"/>
        </w:rPr>
        <w:t xml:space="preserve"> </w:t>
      </w:r>
      <w:r w:rsidRPr="00565EC0">
        <w:rPr>
          <w:rStyle w:val="Hyperlink"/>
          <w:rFonts w:ascii="Public Sans" w:hAnsi="Public Sans" w:cs="Segoe UI"/>
          <w:color w:val="auto"/>
          <w:u w:val="none"/>
        </w:rPr>
        <w:t xml:space="preserve">if you have any questions or </w:t>
      </w:r>
      <w:r>
        <w:rPr>
          <w:rStyle w:val="Hyperlink"/>
          <w:rFonts w:ascii="Public Sans" w:hAnsi="Public Sans" w:cs="Segoe UI"/>
          <w:color w:val="auto"/>
          <w:u w:val="none"/>
        </w:rPr>
        <w:t>would like to discuss</w:t>
      </w:r>
      <w:r w:rsidRPr="00565EC0">
        <w:rPr>
          <w:rFonts w:ascii="Public Sans" w:hAnsi="Public Sans" w:cs="Segoe UI"/>
        </w:rPr>
        <w:t>.</w:t>
      </w:r>
    </w:p>
    <w:p w:rsidR="00494735" w:rsidRPr="00565EC0" w:rsidRDefault="00494735" w:rsidP="00494735">
      <w:pPr>
        <w:spacing w:after="0" w:line="240" w:lineRule="auto"/>
        <w:rPr>
          <w:rFonts w:ascii="Public Sans" w:hAnsi="Public Sans" w:cs="Segoe UI"/>
        </w:rPr>
      </w:pPr>
    </w:p>
    <w:p w:rsidR="00494735" w:rsidRPr="00565EC0" w:rsidRDefault="00494735" w:rsidP="00494735">
      <w:pPr>
        <w:spacing w:after="0" w:line="240" w:lineRule="auto"/>
        <w:rPr>
          <w:rFonts w:ascii="Public Sans" w:hAnsi="Public Sans" w:cs="Segoe UI"/>
        </w:rPr>
      </w:pPr>
      <w:r w:rsidRPr="00565EC0">
        <w:rPr>
          <w:rFonts w:ascii="Public Sans" w:hAnsi="Public Sans" w:cs="Segoe UI"/>
        </w:rPr>
        <w:t>Yours sincerely</w:t>
      </w:r>
    </w:p>
    <w:p w:rsidR="00494735" w:rsidRPr="00565EC0" w:rsidRDefault="00494735" w:rsidP="00494735">
      <w:pPr>
        <w:spacing w:after="0" w:line="240" w:lineRule="auto"/>
        <w:rPr>
          <w:rFonts w:ascii="Public Sans" w:hAnsi="Public Sans" w:cs="Segoe UI"/>
        </w:rPr>
      </w:pPr>
    </w:p>
    <w:p w:rsidR="00494735" w:rsidRPr="00565EC0" w:rsidRDefault="00375506" w:rsidP="00494735">
      <w:pPr>
        <w:spacing w:after="0" w:line="240" w:lineRule="auto"/>
        <w:rPr>
          <w:rFonts w:ascii="Public Sans" w:hAnsi="Public Sans" w:cs="Segoe UI"/>
        </w:rPr>
      </w:pPr>
      <w:r w:rsidRPr="00574671">
        <w:rPr>
          <w:noProof/>
          <w:lang w:eastAsia="en-AU"/>
        </w:rPr>
        <w:drawing>
          <wp:inline distT="0" distB="0" distL="0" distR="0" wp14:anchorId="411183D0" wp14:editId="57FA9595">
            <wp:extent cx="2058670" cy="863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9653" cy="876731"/>
                    </a:xfrm>
                    <a:prstGeom prst="rect">
                      <a:avLst/>
                    </a:prstGeom>
                    <a:noFill/>
                    <a:ln>
                      <a:noFill/>
                    </a:ln>
                  </pic:spPr>
                </pic:pic>
              </a:graphicData>
            </a:graphic>
          </wp:inline>
        </w:drawing>
      </w:r>
    </w:p>
    <w:p w:rsidR="00494735" w:rsidRPr="00565EC0" w:rsidRDefault="00494735" w:rsidP="00494735">
      <w:pPr>
        <w:spacing w:after="0" w:line="240" w:lineRule="auto"/>
        <w:rPr>
          <w:rFonts w:ascii="Public Sans" w:hAnsi="Public Sans" w:cs="Segoe UI"/>
        </w:rPr>
      </w:pPr>
    </w:p>
    <w:p w:rsidR="00494735" w:rsidRPr="00565EC0" w:rsidRDefault="00494735" w:rsidP="00494735">
      <w:pPr>
        <w:spacing w:after="0" w:line="240" w:lineRule="auto"/>
        <w:rPr>
          <w:rFonts w:ascii="Public Sans" w:hAnsi="Public Sans" w:cs="Segoe UI"/>
        </w:rPr>
      </w:pPr>
      <w:r w:rsidRPr="00565EC0">
        <w:rPr>
          <w:rFonts w:ascii="Public Sans" w:hAnsi="Public Sans" w:cs="Segoe UI"/>
        </w:rPr>
        <w:t>Robert Fitzgerald AM</w:t>
      </w:r>
    </w:p>
    <w:p w:rsidR="00494735" w:rsidRPr="00565EC0" w:rsidRDefault="00494735" w:rsidP="00494735">
      <w:pPr>
        <w:spacing w:after="0" w:line="240" w:lineRule="auto"/>
        <w:rPr>
          <w:rFonts w:ascii="Public Sans" w:hAnsi="Public Sans"/>
          <w:sz w:val="20"/>
        </w:rPr>
      </w:pPr>
      <w:r w:rsidRPr="00565EC0">
        <w:rPr>
          <w:rFonts w:ascii="Public Sans" w:hAnsi="Public Sans" w:cs="Segoe UI"/>
          <w:b/>
        </w:rPr>
        <w:t>NSW Ageing and Disability Commissioner</w:t>
      </w:r>
    </w:p>
    <w:p w:rsidR="00C4731D" w:rsidRPr="00494735" w:rsidRDefault="00C4731D" w:rsidP="00494735"/>
    <w:sectPr w:rsidR="00C4731D" w:rsidRPr="00494735" w:rsidSect="004B10A6">
      <w:footerReference w:type="default" r:id="rId12"/>
      <w:headerReference w:type="first" r:id="rId13"/>
      <w:footerReference w:type="first" r:id="rId14"/>
      <w:pgSz w:w="11906" w:h="16838"/>
      <w:pgMar w:top="1134" w:right="1304" w:bottom="964" w:left="130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3C" w:rsidRDefault="00386A3C" w:rsidP="00C4731D">
      <w:pPr>
        <w:spacing w:after="0" w:line="240" w:lineRule="auto"/>
      </w:pPr>
      <w:r>
        <w:separator/>
      </w:r>
    </w:p>
  </w:endnote>
  <w:endnote w:type="continuationSeparator" w:id="0">
    <w:p w:rsidR="00386A3C" w:rsidRDefault="00386A3C" w:rsidP="00C4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70453"/>
      <w:docPartObj>
        <w:docPartGallery w:val="Page Numbers (Bottom of Page)"/>
        <w:docPartUnique/>
      </w:docPartObj>
    </w:sdtPr>
    <w:sdtEndPr>
      <w:rPr>
        <w:noProof/>
      </w:rPr>
    </w:sdtEndPr>
    <w:sdtContent>
      <w:p w:rsidR="00A31490" w:rsidRDefault="00A31490">
        <w:pPr>
          <w:pStyle w:val="Footer"/>
          <w:jc w:val="right"/>
        </w:pPr>
        <w:r>
          <w:fldChar w:fldCharType="begin"/>
        </w:r>
        <w:r>
          <w:instrText xml:space="preserve"> PAGE   \* MERGEFORMAT </w:instrText>
        </w:r>
        <w:r>
          <w:fldChar w:fldCharType="separate"/>
        </w:r>
        <w:r w:rsidR="00D720CF">
          <w:rPr>
            <w:noProof/>
          </w:rPr>
          <w:t>4</w:t>
        </w:r>
        <w:r>
          <w:rPr>
            <w:noProof/>
          </w:rPr>
          <w:fldChar w:fldCharType="end"/>
        </w:r>
      </w:p>
    </w:sdtContent>
  </w:sdt>
  <w:p w:rsidR="00A31490" w:rsidRDefault="00A31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35" w:rsidRDefault="00494735" w:rsidP="00494735"/>
  <w:p w:rsidR="00494735" w:rsidRPr="00AC15D9" w:rsidRDefault="00494735" w:rsidP="00494735">
    <w:pPr>
      <w:pStyle w:val="Footer"/>
      <w:ind w:left="-567" w:right="-755"/>
      <w:rPr>
        <w:rFonts w:ascii="Public Sans" w:hAnsi="Public Sans"/>
        <w:color w:val="002060"/>
        <w:sz w:val="20"/>
        <w:szCs w:val="20"/>
      </w:rPr>
    </w:pPr>
    <w:r w:rsidRPr="00AC15D9">
      <w:rPr>
        <w:rFonts w:ascii="Public Sans" w:hAnsi="Public Sans"/>
        <w:noProof/>
        <w:color w:val="002060"/>
        <w:sz w:val="20"/>
        <w:szCs w:val="20"/>
        <w:lang w:eastAsia="en-AU"/>
      </w:rPr>
      <mc:AlternateContent>
        <mc:Choice Requires="wps">
          <w:drawing>
            <wp:anchor distT="0" distB="0" distL="114300" distR="114300" simplePos="0" relativeHeight="251661312" behindDoc="0" locked="0" layoutInCell="1" allowOverlap="1" wp14:anchorId="49CC59E2" wp14:editId="3FA10FF0">
              <wp:simplePos x="0" y="0"/>
              <wp:positionH relativeFrom="page">
                <wp:align>center</wp:align>
              </wp:positionH>
              <wp:positionV relativeFrom="paragraph">
                <wp:posOffset>-120015</wp:posOffset>
              </wp:positionV>
              <wp:extent cx="6526800"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5268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0BCF56" id="Straight Connector 2"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45pt" to="513.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" strokecolor="#5b9bd5 [3204]" strokeweight=".5pt">
              <v:stroke joinstyle="miter"/>
              <w10:wrap anchorx="page"/>
            </v:line>
          </w:pict>
        </mc:Fallback>
      </mc:AlternateContent>
    </w:r>
    <w:r w:rsidRPr="00AC15D9">
      <w:rPr>
        <w:rFonts w:ascii="Public Sans" w:hAnsi="Public Sans"/>
        <w:color w:val="002060"/>
        <w:sz w:val="20"/>
        <w:szCs w:val="20"/>
      </w:rPr>
      <w:t xml:space="preserve">PO Box 40 </w:t>
    </w:r>
    <w:r w:rsidRPr="00AC15D9">
      <w:rPr>
        <w:rFonts w:ascii="Public Sans" w:hAnsi="Public Sans"/>
        <w:color w:val="002060"/>
        <w:sz w:val="20"/>
        <w:szCs w:val="20"/>
      </w:rPr>
      <w:tab/>
    </w:r>
    <w:r w:rsidRPr="00AC15D9">
      <w:rPr>
        <w:rFonts w:ascii="Public Sans" w:hAnsi="Public Sans"/>
        <w:color w:val="002060"/>
        <w:sz w:val="20"/>
        <w:szCs w:val="20"/>
      </w:rPr>
      <w:tab/>
    </w:r>
    <w:r w:rsidRPr="00AC15D9">
      <w:rPr>
        <w:rFonts w:ascii="Public Sans" w:hAnsi="Public Sans"/>
        <w:b/>
        <w:color w:val="002060"/>
        <w:sz w:val="20"/>
        <w:szCs w:val="20"/>
      </w:rPr>
      <w:t>NSW</w:t>
    </w:r>
    <w:r w:rsidRPr="00AC15D9">
      <w:rPr>
        <w:rFonts w:ascii="Public Sans" w:hAnsi="Public Sans"/>
        <w:color w:val="002060"/>
        <w:sz w:val="20"/>
        <w:szCs w:val="20"/>
      </w:rPr>
      <w:t xml:space="preserve"> </w:t>
    </w:r>
    <w:r w:rsidRPr="00AC15D9">
      <w:rPr>
        <w:rFonts w:ascii="Public Sans" w:hAnsi="Public Sans"/>
        <w:b/>
        <w:color w:val="002060"/>
        <w:sz w:val="20"/>
        <w:szCs w:val="20"/>
      </w:rPr>
      <w:t>Ageing and Disability Abuse Helpline</w:t>
    </w:r>
  </w:p>
  <w:p w:rsidR="00494735" w:rsidRPr="00AC15D9" w:rsidRDefault="00494735" w:rsidP="00494735">
    <w:pPr>
      <w:pStyle w:val="Footer"/>
      <w:ind w:left="-567" w:right="-755"/>
      <w:rPr>
        <w:rFonts w:ascii="Public Sans" w:hAnsi="Public Sans"/>
        <w:color w:val="002060"/>
        <w:sz w:val="20"/>
        <w:szCs w:val="20"/>
      </w:rPr>
    </w:pPr>
    <w:r w:rsidRPr="00AC15D9">
      <w:rPr>
        <w:rFonts w:ascii="Public Sans" w:hAnsi="Public Sans"/>
        <w:color w:val="002060"/>
        <w:sz w:val="20"/>
        <w:szCs w:val="20"/>
      </w:rPr>
      <w:t xml:space="preserve">Parramatta NSW 2124 </w:t>
    </w:r>
    <w:r w:rsidRPr="00AC15D9">
      <w:rPr>
        <w:rFonts w:ascii="Public Sans" w:hAnsi="Public Sans"/>
        <w:color w:val="002060"/>
        <w:sz w:val="20"/>
        <w:szCs w:val="20"/>
      </w:rPr>
      <w:tab/>
    </w:r>
    <w:r w:rsidRPr="00AC15D9">
      <w:rPr>
        <w:rFonts w:ascii="Public Sans" w:hAnsi="Public Sans"/>
        <w:color w:val="002060"/>
        <w:sz w:val="20"/>
        <w:szCs w:val="20"/>
      </w:rPr>
      <w:tab/>
      <w:t>1800 628 221 | nswadc@adc.nsw.gov.au</w:t>
    </w:r>
  </w:p>
  <w:p w:rsidR="00494735" w:rsidRPr="00AC15D9" w:rsidRDefault="00494735" w:rsidP="00494735">
    <w:pPr>
      <w:pStyle w:val="Footer"/>
      <w:ind w:left="-567" w:right="-755"/>
      <w:rPr>
        <w:rFonts w:ascii="Public Sans" w:hAnsi="Public Sans"/>
        <w:color w:val="002060"/>
        <w:sz w:val="20"/>
        <w:szCs w:val="20"/>
      </w:rPr>
    </w:pPr>
    <w:r w:rsidRPr="00AC15D9">
      <w:rPr>
        <w:rFonts w:ascii="Public Sans" w:hAnsi="Public Sans"/>
        <w:color w:val="002060"/>
        <w:sz w:val="20"/>
        <w:szCs w:val="20"/>
      </w:rPr>
      <w:t>(02) 4904 7500 | adc.nsw.gov.au</w:t>
    </w:r>
    <w:r w:rsidRPr="00AC15D9">
      <w:rPr>
        <w:rFonts w:ascii="Public Sans" w:hAnsi="Public Sans"/>
        <w:color w:val="002060"/>
        <w:sz w:val="20"/>
        <w:szCs w:val="20"/>
      </w:rPr>
      <w:tab/>
    </w:r>
    <w:r w:rsidRPr="00AC15D9">
      <w:rPr>
        <w:rFonts w:ascii="Public Sans" w:hAnsi="Public Sans"/>
        <w:color w:val="002060"/>
        <w:sz w:val="20"/>
        <w:szCs w:val="20"/>
      </w:rPr>
      <w:tab/>
      <w:t>(Monday – Friday 9am-5pm)</w:t>
    </w:r>
  </w:p>
  <w:p w:rsidR="00494735" w:rsidRDefault="0049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3C" w:rsidRDefault="00386A3C" w:rsidP="00C4731D">
      <w:pPr>
        <w:spacing w:after="0" w:line="240" w:lineRule="auto"/>
      </w:pPr>
      <w:r>
        <w:separator/>
      </w:r>
    </w:p>
  </w:footnote>
  <w:footnote w:type="continuationSeparator" w:id="0">
    <w:p w:rsidR="00386A3C" w:rsidRDefault="00386A3C" w:rsidP="00C4731D">
      <w:pPr>
        <w:spacing w:after="0" w:line="240" w:lineRule="auto"/>
      </w:pPr>
      <w:r>
        <w:continuationSeparator/>
      </w:r>
    </w:p>
  </w:footnote>
  <w:footnote w:id="1">
    <w:p w:rsidR="0097088F" w:rsidRPr="009C1A21" w:rsidRDefault="0097088F" w:rsidP="0097088F">
      <w:pPr>
        <w:pStyle w:val="FootnoteText"/>
        <w:rPr>
          <w:rFonts w:ascii="Public Sans" w:hAnsi="Public Sans"/>
        </w:rPr>
      </w:pPr>
      <w:r w:rsidRPr="009C1A21">
        <w:rPr>
          <w:rStyle w:val="FootnoteReference"/>
          <w:rFonts w:ascii="Public Sans" w:hAnsi="Public Sans"/>
          <w:sz w:val="18"/>
        </w:rPr>
        <w:footnoteRef/>
      </w:r>
      <w:r w:rsidRPr="009C1A21">
        <w:rPr>
          <w:rFonts w:ascii="Public Sans" w:hAnsi="Public Sans"/>
          <w:sz w:val="18"/>
        </w:rPr>
        <w:t xml:space="preserve"> Under the </w:t>
      </w:r>
      <w:r w:rsidRPr="009C1A21">
        <w:rPr>
          <w:rFonts w:ascii="Public Sans" w:hAnsi="Public Sans"/>
          <w:i/>
          <w:sz w:val="18"/>
        </w:rPr>
        <w:t>Ageing and Disability Commissioner Act 2019</w:t>
      </w:r>
      <w:r w:rsidRPr="009C1A21">
        <w:rPr>
          <w:rFonts w:ascii="Public Sans" w:hAnsi="Public Sans"/>
          <w:sz w:val="18"/>
        </w:rPr>
        <w:t xml:space="preserve"> [NSW], ‘older adult’ means a person who is aged 65 years and older, or aged 50 and older if the person is Aboriginal or Torres Strait Islander. </w:t>
      </w:r>
    </w:p>
  </w:footnote>
  <w:footnote w:id="2">
    <w:p w:rsidR="00234137" w:rsidRPr="00BE611A" w:rsidRDefault="00234137">
      <w:pPr>
        <w:pStyle w:val="FootnoteText"/>
        <w:rPr>
          <w:rFonts w:ascii="Public Sans" w:hAnsi="Public Sans"/>
        </w:rPr>
      </w:pPr>
      <w:r w:rsidRPr="00BE611A">
        <w:rPr>
          <w:rStyle w:val="FootnoteReference"/>
          <w:rFonts w:ascii="Public Sans" w:hAnsi="Public Sans"/>
          <w:sz w:val="18"/>
        </w:rPr>
        <w:footnoteRef/>
      </w:r>
      <w:r w:rsidRPr="00BE611A">
        <w:rPr>
          <w:rFonts w:ascii="Public Sans" w:hAnsi="Public Sans"/>
          <w:sz w:val="18"/>
        </w:rPr>
        <w:t xml:space="preserve"> OAIC APP Guidelines, Chapter C: Permitted general situations, p5</w:t>
      </w:r>
    </w:p>
  </w:footnote>
  <w:footnote w:id="3">
    <w:p w:rsidR="00F16A88" w:rsidRPr="00BE611A" w:rsidRDefault="00F16A88">
      <w:pPr>
        <w:pStyle w:val="FootnoteText"/>
        <w:rPr>
          <w:rFonts w:ascii="Public Sans" w:hAnsi="Public Sans"/>
        </w:rPr>
      </w:pPr>
      <w:r w:rsidRPr="00BE611A">
        <w:rPr>
          <w:rStyle w:val="FootnoteReference"/>
          <w:rFonts w:ascii="Public Sans" w:hAnsi="Public Sans"/>
          <w:sz w:val="18"/>
        </w:rPr>
        <w:footnoteRef/>
      </w:r>
      <w:r w:rsidRPr="00BE611A">
        <w:rPr>
          <w:rFonts w:ascii="Public Sans" w:hAnsi="Public Sans"/>
          <w:sz w:val="18"/>
        </w:rPr>
        <w:t xml:space="preserve"> ACT Human Rights Commission, Queensland Public Guardian, and SA Adult Safeguarding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1D" w:rsidRDefault="00C4731D" w:rsidP="00C640E7">
    <w:pPr>
      <w:pStyle w:val="Header"/>
      <w:tabs>
        <w:tab w:val="clear" w:pos="4513"/>
        <w:tab w:val="clear" w:pos="9026"/>
        <w:tab w:val="left" w:pos="319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00ACC4"/>
    <w:multiLevelType w:val="hybridMultilevel"/>
    <w:tmpl w:val="857B4E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3216D4"/>
    <w:multiLevelType w:val="hybridMultilevel"/>
    <w:tmpl w:val="E780D6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163DE8"/>
    <w:multiLevelType w:val="hybridMultilevel"/>
    <w:tmpl w:val="658E8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C5B12"/>
    <w:multiLevelType w:val="hybridMultilevel"/>
    <w:tmpl w:val="089CC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1486B"/>
    <w:multiLevelType w:val="hybridMultilevel"/>
    <w:tmpl w:val="F30009DA"/>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695FB1"/>
    <w:multiLevelType w:val="hybridMultilevel"/>
    <w:tmpl w:val="9A7052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FF50DFB"/>
    <w:multiLevelType w:val="hybridMultilevel"/>
    <w:tmpl w:val="FFFFFFFF"/>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15:restartNumberingAfterBreak="0">
    <w:nsid w:val="57B87E61"/>
    <w:multiLevelType w:val="hybridMultilevel"/>
    <w:tmpl w:val="E2D8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8F2188"/>
    <w:multiLevelType w:val="hybridMultilevel"/>
    <w:tmpl w:val="1054C1F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64975035"/>
    <w:multiLevelType w:val="hybridMultilevel"/>
    <w:tmpl w:val="B10C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ED6B50"/>
    <w:multiLevelType w:val="hybridMultilevel"/>
    <w:tmpl w:val="C6540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5E0B85"/>
    <w:multiLevelType w:val="hybridMultilevel"/>
    <w:tmpl w:val="314A3D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0"/>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1D"/>
    <w:rsid w:val="00036D63"/>
    <w:rsid w:val="00081EEE"/>
    <w:rsid w:val="000A4CBD"/>
    <w:rsid w:val="000C789E"/>
    <w:rsid w:val="000E79C8"/>
    <w:rsid w:val="001124EB"/>
    <w:rsid w:val="00113EF8"/>
    <w:rsid w:val="00127258"/>
    <w:rsid w:val="0014045C"/>
    <w:rsid w:val="00146D2F"/>
    <w:rsid w:val="00150615"/>
    <w:rsid w:val="00182A46"/>
    <w:rsid w:val="001A65AE"/>
    <w:rsid w:val="001F02EF"/>
    <w:rsid w:val="001F41F9"/>
    <w:rsid w:val="00201631"/>
    <w:rsid w:val="0020483C"/>
    <w:rsid w:val="00207BDC"/>
    <w:rsid w:val="002256D0"/>
    <w:rsid w:val="00234137"/>
    <w:rsid w:val="00245CCE"/>
    <w:rsid w:val="0027651D"/>
    <w:rsid w:val="002A54C5"/>
    <w:rsid w:val="002B1294"/>
    <w:rsid w:val="002E1EF0"/>
    <w:rsid w:val="002F5ABE"/>
    <w:rsid w:val="002F6DCE"/>
    <w:rsid w:val="003072E1"/>
    <w:rsid w:val="00320AF6"/>
    <w:rsid w:val="003254E0"/>
    <w:rsid w:val="00337A7C"/>
    <w:rsid w:val="00352BEA"/>
    <w:rsid w:val="00375506"/>
    <w:rsid w:val="00384763"/>
    <w:rsid w:val="00386A3C"/>
    <w:rsid w:val="00397671"/>
    <w:rsid w:val="003D4645"/>
    <w:rsid w:val="00404E5E"/>
    <w:rsid w:val="004111BC"/>
    <w:rsid w:val="004522FC"/>
    <w:rsid w:val="00452C84"/>
    <w:rsid w:val="0049304D"/>
    <w:rsid w:val="00494735"/>
    <w:rsid w:val="004B10A6"/>
    <w:rsid w:val="004B7DB0"/>
    <w:rsid w:val="004F098C"/>
    <w:rsid w:val="00500EDD"/>
    <w:rsid w:val="00512127"/>
    <w:rsid w:val="00524B7A"/>
    <w:rsid w:val="005506F3"/>
    <w:rsid w:val="0056568D"/>
    <w:rsid w:val="00576EBB"/>
    <w:rsid w:val="005948C5"/>
    <w:rsid w:val="005A28F0"/>
    <w:rsid w:val="005B0D3E"/>
    <w:rsid w:val="006062B8"/>
    <w:rsid w:val="00612469"/>
    <w:rsid w:val="00632085"/>
    <w:rsid w:val="0063258A"/>
    <w:rsid w:val="00662F9C"/>
    <w:rsid w:val="0067293B"/>
    <w:rsid w:val="00693337"/>
    <w:rsid w:val="006C1BDA"/>
    <w:rsid w:val="006F744F"/>
    <w:rsid w:val="0070117F"/>
    <w:rsid w:val="007470BE"/>
    <w:rsid w:val="00761B68"/>
    <w:rsid w:val="007B2653"/>
    <w:rsid w:val="007D3154"/>
    <w:rsid w:val="007F1A86"/>
    <w:rsid w:val="00821A6A"/>
    <w:rsid w:val="00843A10"/>
    <w:rsid w:val="00847D57"/>
    <w:rsid w:val="008630D8"/>
    <w:rsid w:val="00884ED3"/>
    <w:rsid w:val="00885080"/>
    <w:rsid w:val="008A39A0"/>
    <w:rsid w:val="008B2F1C"/>
    <w:rsid w:val="008C777D"/>
    <w:rsid w:val="008E133B"/>
    <w:rsid w:val="008F0680"/>
    <w:rsid w:val="008F4CA3"/>
    <w:rsid w:val="00912290"/>
    <w:rsid w:val="00920DE2"/>
    <w:rsid w:val="00947EBA"/>
    <w:rsid w:val="00961CFB"/>
    <w:rsid w:val="0097088F"/>
    <w:rsid w:val="009748AD"/>
    <w:rsid w:val="00982D0D"/>
    <w:rsid w:val="009866A7"/>
    <w:rsid w:val="0099177E"/>
    <w:rsid w:val="009D694C"/>
    <w:rsid w:val="009E0BB4"/>
    <w:rsid w:val="009E1BB6"/>
    <w:rsid w:val="00A2008A"/>
    <w:rsid w:val="00A2466B"/>
    <w:rsid w:val="00A255E4"/>
    <w:rsid w:val="00A31490"/>
    <w:rsid w:val="00A40371"/>
    <w:rsid w:val="00A45AAD"/>
    <w:rsid w:val="00A560BC"/>
    <w:rsid w:val="00A659AC"/>
    <w:rsid w:val="00A74808"/>
    <w:rsid w:val="00A77C68"/>
    <w:rsid w:val="00AC7EF9"/>
    <w:rsid w:val="00AF058E"/>
    <w:rsid w:val="00AF17BD"/>
    <w:rsid w:val="00B107FC"/>
    <w:rsid w:val="00B1420F"/>
    <w:rsid w:val="00B17E6B"/>
    <w:rsid w:val="00B24744"/>
    <w:rsid w:val="00B70CAE"/>
    <w:rsid w:val="00B93B37"/>
    <w:rsid w:val="00B95156"/>
    <w:rsid w:val="00B9578C"/>
    <w:rsid w:val="00BE611A"/>
    <w:rsid w:val="00C0651A"/>
    <w:rsid w:val="00C06617"/>
    <w:rsid w:val="00C34F4B"/>
    <w:rsid w:val="00C36A9F"/>
    <w:rsid w:val="00C4731D"/>
    <w:rsid w:val="00C54AE8"/>
    <w:rsid w:val="00C55D85"/>
    <w:rsid w:val="00C56186"/>
    <w:rsid w:val="00C6243C"/>
    <w:rsid w:val="00C640E7"/>
    <w:rsid w:val="00C7103E"/>
    <w:rsid w:val="00CA2BF7"/>
    <w:rsid w:val="00CA4132"/>
    <w:rsid w:val="00CA76C4"/>
    <w:rsid w:val="00CB34B7"/>
    <w:rsid w:val="00CC055E"/>
    <w:rsid w:val="00CE7BA6"/>
    <w:rsid w:val="00CF64C6"/>
    <w:rsid w:val="00D20AC0"/>
    <w:rsid w:val="00D252A3"/>
    <w:rsid w:val="00D369D7"/>
    <w:rsid w:val="00D67CCB"/>
    <w:rsid w:val="00D7112E"/>
    <w:rsid w:val="00D720CF"/>
    <w:rsid w:val="00D773B0"/>
    <w:rsid w:val="00D926AC"/>
    <w:rsid w:val="00DB08FC"/>
    <w:rsid w:val="00DB0B57"/>
    <w:rsid w:val="00DC057A"/>
    <w:rsid w:val="00DC2FE5"/>
    <w:rsid w:val="00DF3488"/>
    <w:rsid w:val="00E034D1"/>
    <w:rsid w:val="00E23AB4"/>
    <w:rsid w:val="00E269E0"/>
    <w:rsid w:val="00E56A35"/>
    <w:rsid w:val="00EA02D6"/>
    <w:rsid w:val="00EA2FC7"/>
    <w:rsid w:val="00EA4864"/>
    <w:rsid w:val="00EA4B05"/>
    <w:rsid w:val="00EC22FE"/>
    <w:rsid w:val="00ED5375"/>
    <w:rsid w:val="00ED7580"/>
    <w:rsid w:val="00F16A88"/>
    <w:rsid w:val="00F33761"/>
    <w:rsid w:val="00F67076"/>
    <w:rsid w:val="00F677FD"/>
    <w:rsid w:val="00F73837"/>
    <w:rsid w:val="00F819C7"/>
    <w:rsid w:val="00F83A4F"/>
    <w:rsid w:val="00F9365E"/>
    <w:rsid w:val="00FB30B2"/>
    <w:rsid w:val="00FE0D3C"/>
    <w:rsid w:val="00FE75E6"/>
    <w:rsid w:val="00FF2FC2"/>
    <w:rsid w:val="00FF5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FCF612-A9D5-4E18-B10A-25896757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7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1D"/>
  </w:style>
  <w:style w:type="paragraph" w:styleId="Footer">
    <w:name w:val="footer"/>
    <w:basedOn w:val="Normal"/>
    <w:link w:val="FooterChar"/>
    <w:uiPriority w:val="99"/>
    <w:unhideWhenUsed/>
    <w:rsid w:val="00C47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1D"/>
  </w:style>
  <w:style w:type="paragraph" w:styleId="BalloonText">
    <w:name w:val="Balloon Text"/>
    <w:basedOn w:val="Normal"/>
    <w:link w:val="BalloonTextChar"/>
    <w:uiPriority w:val="99"/>
    <w:semiHidden/>
    <w:unhideWhenUsed/>
    <w:rsid w:val="00C47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1D"/>
    <w:rPr>
      <w:rFonts w:ascii="Segoe UI" w:hAnsi="Segoe UI" w:cs="Segoe UI"/>
      <w:sz w:val="18"/>
      <w:szCs w:val="18"/>
    </w:rPr>
  </w:style>
  <w:style w:type="paragraph" w:styleId="ListParagraph">
    <w:name w:val="List Paragraph"/>
    <w:basedOn w:val="Normal"/>
    <w:uiPriority w:val="34"/>
    <w:qFormat/>
    <w:rsid w:val="000A4CBD"/>
    <w:pPr>
      <w:ind w:left="720"/>
      <w:contextualSpacing/>
    </w:pPr>
  </w:style>
  <w:style w:type="character" w:styleId="Hyperlink">
    <w:name w:val="Hyperlink"/>
    <w:basedOn w:val="DefaultParagraphFont"/>
    <w:uiPriority w:val="99"/>
    <w:unhideWhenUsed/>
    <w:rsid w:val="007B2653"/>
    <w:rPr>
      <w:color w:val="0000FF"/>
      <w:u w:val="single"/>
    </w:rPr>
  </w:style>
  <w:style w:type="paragraph" w:styleId="NoSpacing">
    <w:name w:val="No Spacing"/>
    <w:uiPriority w:val="1"/>
    <w:qFormat/>
    <w:rsid w:val="00AF058E"/>
    <w:pPr>
      <w:spacing w:after="0" w:line="240" w:lineRule="auto"/>
    </w:pPr>
  </w:style>
  <w:style w:type="paragraph" w:styleId="NormalWeb">
    <w:name w:val="Normal (Web)"/>
    <w:basedOn w:val="Normal"/>
    <w:uiPriority w:val="99"/>
    <w:semiHidden/>
    <w:unhideWhenUsed/>
    <w:rsid w:val="004522F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117F"/>
    <w:rPr>
      <w:color w:val="954F72" w:themeColor="followedHyperlink"/>
      <w:u w:val="single"/>
    </w:rPr>
  </w:style>
  <w:style w:type="table" w:styleId="TableGrid">
    <w:name w:val="Table Grid"/>
    <w:basedOn w:val="TableNormal"/>
    <w:uiPriority w:val="39"/>
    <w:rsid w:val="00D2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67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7FD"/>
    <w:rPr>
      <w:sz w:val="20"/>
      <w:szCs w:val="20"/>
    </w:rPr>
  </w:style>
  <w:style w:type="character" w:styleId="FootnoteReference">
    <w:name w:val="footnote reference"/>
    <w:basedOn w:val="DefaultParagraphFont"/>
    <w:uiPriority w:val="99"/>
    <w:semiHidden/>
    <w:unhideWhenUsed/>
    <w:rsid w:val="00F677FD"/>
    <w:rPr>
      <w:vertAlign w:val="superscript"/>
    </w:rPr>
  </w:style>
  <w:style w:type="character" w:customStyle="1" w:styleId="UnresolvedMention">
    <w:name w:val="Unresolved Mention"/>
    <w:basedOn w:val="DefaultParagraphFont"/>
    <w:uiPriority w:val="99"/>
    <w:semiHidden/>
    <w:unhideWhenUsed/>
    <w:rsid w:val="006C1BDA"/>
    <w:rPr>
      <w:color w:val="605E5C"/>
      <w:shd w:val="clear" w:color="auto" w:fill="E1DFDD"/>
    </w:rPr>
  </w:style>
  <w:style w:type="character" w:customStyle="1" w:styleId="Heading1Char">
    <w:name w:val="Heading 1 Char"/>
    <w:basedOn w:val="DefaultParagraphFont"/>
    <w:link w:val="Heading1"/>
    <w:uiPriority w:val="9"/>
    <w:rsid w:val="00AF17B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34137"/>
    <w:rPr>
      <w:sz w:val="16"/>
      <w:szCs w:val="16"/>
    </w:rPr>
  </w:style>
  <w:style w:type="paragraph" w:styleId="CommentText">
    <w:name w:val="annotation text"/>
    <w:basedOn w:val="Normal"/>
    <w:link w:val="CommentTextChar"/>
    <w:uiPriority w:val="99"/>
    <w:semiHidden/>
    <w:unhideWhenUsed/>
    <w:rsid w:val="00234137"/>
    <w:pPr>
      <w:spacing w:line="240" w:lineRule="auto"/>
    </w:pPr>
    <w:rPr>
      <w:sz w:val="20"/>
      <w:szCs w:val="20"/>
    </w:rPr>
  </w:style>
  <w:style w:type="character" w:customStyle="1" w:styleId="CommentTextChar">
    <w:name w:val="Comment Text Char"/>
    <w:basedOn w:val="DefaultParagraphFont"/>
    <w:link w:val="CommentText"/>
    <w:uiPriority w:val="99"/>
    <w:semiHidden/>
    <w:rsid w:val="00234137"/>
    <w:rPr>
      <w:sz w:val="20"/>
      <w:szCs w:val="20"/>
    </w:rPr>
  </w:style>
  <w:style w:type="paragraph" w:styleId="CommentSubject">
    <w:name w:val="annotation subject"/>
    <w:basedOn w:val="CommentText"/>
    <w:next w:val="CommentText"/>
    <w:link w:val="CommentSubjectChar"/>
    <w:uiPriority w:val="99"/>
    <w:semiHidden/>
    <w:unhideWhenUsed/>
    <w:rsid w:val="00234137"/>
    <w:rPr>
      <w:b/>
      <w:bCs/>
    </w:rPr>
  </w:style>
  <w:style w:type="character" w:customStyle="1" w:styleId="CommentSubjectChar">
    <w:name w:val="Comment Subject Char"/>
    <w:basedOn w:val="CommentTextChar"/>
    <w:link w:val="CommentSubject"/>
    <w:uiPriority w:val="99"/>
    <w:semiHidden/>
    <w:rsid w:val="00234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78738">
      <w:bodyDiv w:val="1"/>
      <w:marLeft w:val="0"/>
      <w:marRight w:val="0"/>
      <w:marTop w:val="0"/>
      <w:marBottom w:val="0"/>
      <w:divBdr>
        <w:top w:val="none" w:sz="0" w:space="0" w:color="auto"/>
        <w:left w:val="none" w:sz="0" w:space="0" w:color="auto"/>
        <w:bottom w:val="none" w:sz="0" w:space="0" w:color="auto"/>
        <w:right w:val="none" w:sz="0" w:space="0" w:color="auto"/>
      </w:divBdr>
    </w:div>
    <w:div w:id="1039087292">
      <w:bodyDiv w:val="1"/>
      <w:marLeft w:val="0"/>
      <w:marRight w:val="0"/>
      <w:marTop w:val="0"/>
      <w:marBottom w:val="0"/>
      <w:divBdr>
        <w:top w:val="none" w:sz="0" w:space="0" w:color="auto"/>
        <w:left w:val="none" w:sz="0" w:space="0" w:color="auto"/>
        <w:bottom w:val="none" w:sz="0" w:space="0" w:color="auto"/>
        <w:right w:val="none" w:sz="0" w:space="0" w:color="auto"/>
      </w:divBdr>
      <w:divsChild>
        <w:div w:id="1597128455">
          <w:marLeft w:val="340"/>
          <w:marRight w:val="0"/>
          <w:marTop w:val="160"/>
          <w:marBottom w:val="200"/>
          <w:divBdr>
            <w:top w:val="none" w:sz="0" w:space="0" w:color="auto"/>
            <w:left w:val="none" w:sz="0" w:space="0" w:color="auto"/>
            <w:bottom w:val="none" w:sz="0" w:space="0" w:color="auto"/>
            <w:right w:val="none" w:sz="0" w:space="0" w:color="auto"/>
          </w:divBdr>
        </w:div>
        <w:div w:id="4670116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23478280">
              <w:marLeft w:val="0"/>
              <w:marRight w:val="0"/>
              <w:marTop w:val="0"/>
              <w:marBottom w:val="0"/>
              <w:divBdr>
                <w:top w:val="none" w:sz="0" w:space="0" w:color="auto"/>
                <w:left w:val="none" w:sz="0" w:space="0" w:color="auto"/>
                <w:bottom w:val="none" w:sz="0" w:space="0" w:color="auto"/>
                <w:right w:val="none" w:sz="0" w:space="0" w:color="auto"/>
              </w:divBdr>
              <w:divsChild>
                <w:div w:id="2599475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72813469">
              <w:marLeft w:val="0"/>
              <w:marRight w:val="0"/>
              <w:marTop w:val="0"/>
              <w:marBottom w:val="0"/>
              <w:divBdr>
                <w:top w:val="none" w:sz="0" w:space="0" w:color="auto"/>
                <w:left w:val="none" w:sz="0" w:space="0" w:color="auto"/>
                <w:bottom w:val="none" w:sz="0" w:space="0" w:color="auto"/>
                <w:right w:val="none" w:sz="0" w:space="0" w:color="auto"/>
              </w:divBdr>
              <w:divsChild>
                <w:div w:id="1664895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16220395">
              <w:marLeft w:val="0"/>
              <w:marRight w:val="0"/>
              <w:marTop w:val="0"/>
              <w:marBottom w:val="0"/>
              <w:divBdr>
                <w:top w:val="none" w:sz="0" w:space="0" w:color="auto"/>
                <w:left w:val="none" w:sz="0" w:space="0" w:color="auto"/>
                <w:bottom w:val="none" w:sz="0" w:space="0" w:color="auto"/>
                <w:right w:val="none" w:sz="0" w:space="0" w:color="auto"/>
              </w:divBdr>
              <w:divsChild>
                <w:div w:id="20756643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054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ry.oneill@adc.nsw.gov.au" TargetMode="External"/><Relationship Id="rId4" Type="http://schemas.openxmlformats.org/officeDocument/2006/relationships/settings" Target="settings.xml"/><Relationship Id="rId9" Type="http://schemas.openxmlformats.org/officeDocument/2006/relationships/hyperlink" Target="https://consultations.ag.gov.au/integrity/privacy-act-review-report/consul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76F9-F382-44A5-A931-35909CA1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Kathryn McKenzie</cp:lastModifiedBy>
  <cp:revision>2</cp:revision>
  <cp:lastPrinted>2023-03-30T03:41:00Z</cp:lastPrinted>
  <dcterms:created xsi:type="dcterms:W3CDTF">2023-03-30T04:37:00Z</dcterms:created>
  <dcterms:modified xsi:type="dcterms:W3CDTF">2023-03-30T04:37:00Z</dcterms:modified>
</cp:coreProperties>
</file>