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101" w:rsidRPr="00B74CCF" w:rsidRDefault="006B5165" w:rsidP="007A4BC6">
      <w:pPr>
        <w:pStyle w:val="Heading1"/>
        <w:spacing w:before="0" w:after="0"/>
        <w:jc w:val="center"/>
        <w:rPr>
          <w:rFonts w:ascii="Public Sans" w:hAnsi="Public Sans"/>
          <w:b/>
          <w:color w:val="auto"/>
        </w:rPr>
      </w:pPr>
      <w:bookmarkStart w:id="0" w:name="_GoBack"/>
      <w:bookmarkEnd w:id="0"/>
      <w:permStart w:id="244336821" w:edGrp="everyone"/>
      <w:permEnd w:id="244336821"/>
      <w:r w:rsidRPr="00B74CCF">
        <w:rPr>
          <w:rFonts w:ascii="Public Sans" w:hAnsi="Public Sans"/>
          <w:b/>
          <w:color w:val="auto"/>
        </w:rPr>
        <w:t>Ageing and Disability Commission d</w:t>
      </w:r>
      <w:r w:rsidR="00075101" w:rsidRPr="00B74CCF">
        <w:rPr>
          <w:rFonts w:ascii="Public Sans" w:hAnsi="Public Sans"/>
          <w:b/>
          <w:color w:val="auto"/>
        </w:rPr>
        <w:t>ata</w:t>
      </w:r>
    </w:p>
    <w:p w:rsidR="006B5165" w:rsidRPr="00B74CCF" w:rsidRDefault="00F00626" w:rsidP="00014357">
      <w:pPr>
        <w:pStyle w:val="Heading1"/>
        <w:spacing w:before="120" w:after="0"/>
        <w:jc w:val="center"/>
        <w:rPr>
          <w:rFonts w:ascii="Public Sans" w:hAnsi="Public Sans"/>
          <w:b/>
          <w:color w:val="auto"/>
          <w:sz w:val="28"/>
        </w:rPr>
      </w:pPr>
      <w:r>
        <w:rPr>
          <w:rFonts w:ascii="Public Sans" w:hAnsi="Public Sans"/>
          <w:b/>
          <w:color w:val="auto"/>
          <w:sz w:val="28"/>
        </w:rPr>
        <w:t>October</w:t>
      </w:r>
      <w:r w:rsidR="006B5165" w:rsidRPr="00B74CCF">
        <w:rPr>
          <w:rFonts w:ascii="Public Sans" w:hAnsi="Public Sans"/>
          <w:b/>
          <w:color w:val="auto"/>
          <w:sz w:val="28"/>
        </w:rPr>
        <w:t xml:space="preserve"> </w:t>
      </w:r>
      <w:r w:rsidR="00573A7C" w:rsidRPr="00B74CCF">
        <w:rPr>
          <w:rFonts w:ascii="Public Sans" w:hAnsi="Public Sans"/>
          <w:b/>
          <w:color w:val="auto"/>
          <w:sz w:val="28"/>
        </w:rPr>
        <w:t xml:space="preserve">– </w:t>
      </w:r>
      <w:r>
        <w:rPr>
          <w:rFonts w:ascii="Public Sans" w:hAnsi="Public Sans"/>
          <w:b/>
          <w:color w:val="auto"/>
          <w:sz w:val="28"/>
        </w:rPr>
        <w:t>Dec</w:t>
      </w:r>
      <w:r w:rsidR="00035721">
        <w:rPr>
          <w:rFonts w:ascii="Public Sans" w:hAnsi="Public Sans"/>
          <w:b/>
          <w:color w:val="auto"/>
          <w:sz w:val="28"/>
        </w:rPr>
        <w:t>ember</w:t>
      </w:r>
      <w:r w:rsidR="00573A7C" w:rsidRPr="00B74CCF">
        <w:rPr>
          <w:rFonts w:ascii="Public Sans" w:hAnsi="Public Sans"/>
          <w:b/>
          <w:color w:val="auto"/>
          <w:sz w:val="28"/>
        </w:rPr>
        <w:t xml:space="preserve"> </w:t>
      </w:r>
      <w:r w:rsidR="006B5165" w:rsidRPr="00B74CCF">
        <w:rPr>
          <w:rFonts w:ascii="Public Sans" w:hAnsi="Public Sans"/>
          <w:b/>
          <w:color w:val="auto"/>
          <w:sz w:val="28"/>
        </w:rPr>
        <w:t>202</w:t>
      </w:r>
      <w:r w:rsidR="00204090">
        <w:rPr>
          <w:rFonts w:ascii="Public Sans" w:hAnsi="Public Sans"/>
          <w:b/>
          <w:color w:val="auto"/>
          <w:sz w:val="28"/>
        </w:rPr>
        <w:t>2</w:t>
      </w:r>
    </w:p>
    <w:p w:rsidR="00014357" w:rsidRPr="00613AF2" w:rsidRDefault="00014357" w:rsidP="007A4BC6">
      <w:pPr>
        <w:pStyle w:val="NoSpacing"/>
        <w:rPr>
          <w:rFonts w:ascii="Public Sans" w:hAnsi="Public Sans" w:cs="Segoe UI"/>
          <w:sz w:val="18"/>
        </w:rPr>
      </w:pPr>
    </w:p>
    <w:p w:rsidR="006B5165" w:rsidRPr="00B74CCF" w:rsidRDefault="00E134D4" w:rsidP="00E134D4">
      <w:pPr>
        <w:pStyle w:val="Heading2"/>
        <w:numPr>
          <w:ilvl w:val="0"/>
          <w:numId w:val="10"/>
        </w:numPr>
        <w:spacing w:before="0"/>
        <w:ind w:left="426" w:hanging="426"/>
        <w:rPr>
          <w:rFonts w:ascii="Public Sans" w:hAnsi="Public Sans"/>
          <w:b/>
          <w:color w:val="auto"/>
        </w:rPr>
      </w:pPr>
      <w:r w:rsidRPr="00B74CCF">
        <w:rPr>
          <w:rFonts w:ascii="Public Sans" w:hAnsi="Public Sans"/>
          <w:b/>
          <w:color w:val="auto"/>
        </w:rPr>
        <w:t>Number of</w:t>
      </w:r>
      <w:r w:rsidR="006B5165" w:rsidRPr="00B74CCF">
        <w:rPr>
          <w:rFonts w:ascii="Public Sans" w:hAnsi="Public Sans"/>
          <w:b/>
          <w:color w:val="auto"/>
        </w:rPr>
        <w:t xml:space="preserve"> </w:t>
      </w:r>
      <w:r w:rsidRPr="00B74CCF">
        <w:rPr>
          <w:rFonts w:ascii="Public Sans" w:hAnsi="Public Sans"/>
          <w:b/>
          <w:color w:val="auto"/>
        </w:rPr>
        <w:t xml:space="preserve">calls, </w:t>
      </w:r>
      <w:r w:rsidR="006B5165" w:rsidRPr="00B74CCF">
        <w:rPr>
          <w:rFonts w:ascii="Public Sans" w:hAnsi="Public Sans"/>
          <w:b/>
          <w:color w:val="auto"/>
        </w:rPr>
        <w:t xml:space="preserve">enquiries and reports </w:t>
      </w:r>
    </w:p>
    <w:p w:rsidR="006B5165" w:rsidRPr="00613AF2" w:rsidRDefault="006B5165" w:rsidP="007A4BC6">
      <w:pPr>
        <w:spacing w:after="0" w:line="240" w:lineRule="auto"/>
        <w:rPr>
          <w:rFonts w:ascii="Public Sans" w:hAnsi="Public Sans" w:cs="Segoe UI"/>
          <w:sz w:val="18"/>
        </w:rPr>
      </w:pPr>
    </w:p>
    <w:p w:rsidR="00E024F6" w:rsidRPr="00B74CCF" w:rsidRDefault="00E024F6" w:rsidP="00E024F6">
      <w:pPr>
        <w:pStyle w:val="Heading3"/>
        <w:rPr>
          <w:rFonts w:ascii="Public Sans" w:hAnsi="Public Sans"/>
          <w:b/>
          <w:color w:val="auto"/>
        </w:rPr>
      </w:pPr>
      <w:r w:rsidRPr="00B74CCF">
        <w:rPr>
          <w:rFonts w:ascii="Public Sans" w:hAnsi="Public Sans"/>
          <w:b/>
          <w:color w:val="auto"/>
        </w:rPr>
        <w:t>1.1</w:t>
      </w:r>
      <w:r w:rsidRPr="00B74CCF">
        <w:rPr>
          <w:rFonts w:ascii="Public Sans" w:hAnsi="Public Sans"/>
          <w:b/>
          <w:color w:val="auto"/>
        </w:rPr>
        <w:tab/>
        <w:t>Number of calls to the Ageing and Disability Abuse Helpline</w:t>
      </w:r>
    </w:p>
    <w:p w:rsidR="00D57958" w:rsidRDefault="00D57958" w:rsidP="00D57958">
      <w:pPr>
        <w:pStyle w:val="Body"/>
        <w:widowControl w:val="0"/>
        <w:pBdr>
          <w:top w:val="none" w:sz="0" w:space="0" w:color="auto"/>
          <w:left w:val="none" w:sz="0" w:space="0" w:color="auto"/>
          <w:bottom w:val="none" w:sz="0" w:space="0" w:color="auto"/>
          <w:right w:val="none" w:sz="0" w:space="0" w:color="auto"/>
        </w:pBdr>
        <w:spacing w:after="0" w:line="240" w:lineRule="auto"/>
        <w:rPr>
          <w:rFonts w:ascii="Public Sans" w:hAnsi="Public Sans" w:cs="Segoe UI"/>
        </w:rPr>
      </w:pPr>
    </w:p>
    <w:p w:rsidR="00D57958" w:rsidRPr="00965C05" w:rsidRDefault="00D57958" w:rsidP="00D57958">
      <w:pPr>
        <w:pStyle w:val="Body"/>
        <w:widowControl w:val="0"/>
        <w:pBdr>
          <w:top w:val="none" w:sz="0" w:space="0" w:color="auto"/>
          <w:left w:val="none" w:sz="0" w:space="0" w:color="auto"/>
          <w:bottom w:val="none" w:sz="0" w:space="0" w:color="auto"/>
          <w:right w:val="none" w:sz="0" w:space="0" w:color="auto"/>
        </w:pBdr>
        <w:spacing w:after="0" w:line="240" w:lineRule="auto"/>
        <w:rPr>
          <w:rFonts w:ascii="Public Sans" w:eastAsia="Helvetica" w:hAnsi="Public Sans" w:cs="Segoe UI"/>
        </w:rPr>
      </w:pPr>
      <w:r>
        <w:rPr>
          <w:rFonts w:ascii="Public Sans" w:hAnsi="Public Sans" w:cs="Segoe UI"/>
        </w:rPr>
        <w:t xml:space="preserve">Between 1 </w:t>
      </w:r>
      <w:r w:rsidR="00FA1880">
        <w:rPr>
          <w:rFonts w:ascii="Public Sans" w:hAnsi="Public Sans" w:cs="Segoe UI"/>
        </w:rPr>
        <w:t>October</w:t>
      </w:r>
      <w:r>
        <w:rPr>
          <w:rFonts w:ascii="Public Sans" w:hAnsi="Public Sans" w:cs="Segoe UI"/>
        </w:rPr>
        <w:t xml:space="preserve"> and 3</w:t>
      </w:r>
      <w:r w:rsidR="00FA1880">
        <w:rPr>
          <w:rFonts w:ascii="Public Sans" w:hAnsi="Public Sans" w:cs="Segoe UI"/>
        </w:rPr>
        <w:t>1</w:t>
      </w:r>
      <w:r>
        <w:rPr>
          <w:rFonts w:ascii="Public Sans" w:hAnsi="Public Sans" w:cs="Segoe UI"/>
        </w:rPr>
        <w:t xml:space="preserve"> </w:t>
      </w:r>
      <w:r w:rsidR="00FA1880">
        <w:rPr>
          <w:rFonts w:ascii="Public Sans" w:hAnsi="Public Sans" w:cs="Segoe UI"/>
        </w:rPr>
        <w:t>Dec</w:t>
      </w:r>
      <w:r w:rsidR="00035721">
        <w:rPr>
          <w:rFonts w:ascii="Public Sans" w:hAnsi="Public Sans" w:cs="Segoe UI"/>
        </w:rPr>
        <w:t>ember</w:t>
      </w:r>
      <w:r>
        <w:rPr>
          <w:rFonts w:ascii="Public Sans" w:hAnsi="Public Sans" w:cs="Segoe UI"/>
        </w:rPr>
        <w:t xml:space="preserve"> 20</w:t>
      </w:r>
      <w:r w:rsidRPr="00965C05">
        <w:rPr>
          <w:rFonts w:ascii="Public Sans" w:hAnsi="Public Sans" w:cs="Segoe UI"/>
        </w:rPr>
        <w:t xml:space="preserve">22, the Ageing and Disability Abuse Helpline received </w:t>
      </w:r>
      <w:r w:rsidR="00035721" w:rsidRPr="00035721">
        <w:rPr>
          <w:rFonts w:ascii="Public Sans" w:hAnsi="Public Sans" w:cs="Segoe UI"/>
          <w:b/>
        </w:rPr>
        <w:t>3,</w:t>
      </w:r>
      <w:r w:rsidR="00FA1880">
        <w:rPr>
          <w:rFonts w:ascii="Public Sans" w:hAnsi="Public Sans" w:cs="Segoe UI"/>
          <w:b/>
        </w:rPr>
        <w:t>253</w:t>
      </w:r>
      <w:r w:rsidRPr="00965C05">
        <w:rPr>
          <w:rFonts w:ascii="Public Sans" w:hAnsi="Public Sans" w:cs="Segoe UI"/>
          <w:b/>
        </w:rPr>
        <w:t xml:space="preserve"> calls</w:t>
      </w:r>
      <w:r w:rsidRPr="00965C05">
        <w:rPr>
          <w:rFonts w:ascii="Public Sans" w:hAnsi="Public Sans" w:cs="Segoe UI"/>
        </w:rPr>
        <w:t>.</w:t>
      </w:r>
      <w:r w:rsidRPr="00965C05">
        <w:rPr>
          <w:rFonts w:ascii="Public Sans" w:eastAsia="Helvetica" w:hAnsi="Public Sans" w:cs="Segoe UI"/>
        </w:rPr>
        <w:t xml:space="preserve">  </w:t>
      </w:r>
      <w:r w:rsidR="00035721">
        <w:rPr>
          <w:rFonts w:ascii="Public Sans" w:eastAsia="Helvetica" w:hAnsi="Public Sans" w:cs="Segoe UI"/>
        </w:rPr>
        <w:t>This was a</w:t>
      </w:r>
      <w:r w:rsidR="007851A8">
        <w:rPr>
          <w:rFonts w:ascii="Public Sans" w:eastAsia="Helvetica" w:hAnsi="Public Sans" w:cs="Segoe UI"/>
        </w:rPr>
        <w:t>n</w:t>
      </w:r>
      <w:r w:rsidR="00035721">
        <w:rPr>
          <w:rFonts w:ascii="Public Sans" w:eastAsia="Helvetica" w:hAnsi="Public Sans" w:cs="Segoe UI"/>
        </w:rPr>
        <w:t xml:space="preserve"> </w:t>
      </w:r>
      <w:r w:rsidR="007A0F04">
        <w:rPr>
          <w:rFonts w:ascii="Public Sans" w:eastAsia="Helvetica" w:hAnsi="Public Sans" w:cs="Segoe UI"/>
        </w:rPr>
        <w:t>8.3</w:t>
      </w:r>
      <w:r w:rsidR="00035721">
        <w:rPr>
          <w:rFonts w:ascii="Public Sans" w:eastAsia="Helvetica" w:hAnsi="Public Sans" w:cs="Segoe UI"/>
        </w:rPr>
        <w:t xml:space="preserve">% </w:t>
      </w:r>
      <w:r w:rsidR="007A0F04">
        <w:rPr>
          <w:rFonts w:ascii="Public Sans" w:eastAsia="Helvetica" w:hAnsi="Public Sans" w:cs="Segoe UI"/>
        </w:rPr>
        <w:t>decrease</w:t>
      </w:r>
      <w:r w:rsidR="00035721">
        <w:rPr>
          <w:rFonts w:ascii="Public Sans" w:eastAsia="Helvetica" w:hAnsi="Public Sans" w:cs="Segoe UI"/>
        </w:rPr>
        <w:t xml:space="preserve"> on calls in the previous quarter,</w:t>
      </w:r>
      <w:r w:rsidR="008D1B90">
        <w:rPr>
          <w:rFonts w:ascii="Public Sans" w:eastAsia="Helvetica" w:hAnsi="Public Sans" w:cs="Segoe UI"/>
        </w:rPr>
        <w:t xml:space="preserve"> </w:t>
      </w:r>
      <w:r w:rsidR="007851A8">
        <w:rPr>
          <w:rFonts w:ascii="Public Sans" w:eastAsia="Helvetica" w:hAnsi="Public Sans" w:cs="Segoe UI"/>
        </w:rPr>
        <w:t xml:space="preserve">and </w:t>
      </w:r>
      <w:r w:rsidR="00035721">
        <w:rPr>
          <w:rFonts w:ascii="Public Sans" w:eastAsia="Helvetica" w:hAnsi="Public Sans" w:cs="Segoe UI"/>
        </w:rPr>
        <w:t xml:space="preserve">a </w:t>
      </w:r>
      <w:r w:rsidR="007A0F04">
        <w:rPr>
          <w:rFonts w:ascii="Public Sans" w:eastAsia="Helvetica" w:hAnsi="Public Sans" w:cs="Segoe UI"/>
        </w:rPr>
        <w:t>16</w:t>
      </w:r>
      <w:r w:rsidR="008F753F">
        <w:rPr>
          <w:rFonts w:ascii="Public Sans" w:eastAsia="Helvetica" w:hAnsi="Public Sans" w:cs="Segoe UI"/>
        </w:rPr>
        <w:t>.</w:t>
      </w:r>
      <w:r w:rsidR="007A0F04">
        <w:rPr>
          <w:rFonts w:ascii="Public Sans" w:eastAsia="Helvetica" w:hAnsi="Public Sans" w:cs="Segoe UI"/>
        </w:rPr>
        <w:t>8</w:t>
      </w:r>
      <w:r w:rsidR="00035721">
        <w:rPr>
          <w:rFonts w:ascii="Public Sans" w:eastAsia="Helvetica" w:hAnsi="Public Sans" w:cs="Segoe UI"/>
        </w:rPr>
        <w:t xml:space="preserve">% increase on calls in the same quarter last year. </w:t>
      </w:r>
      <w:r w:rsidR="008D1B90">
        <w:rPr>
          <w:rFonts w:ascii="Public Sans" w:eastAsia="Helvetica" w:hAnsi="Public Sans" w:cs="Segoe UI"/>
        </w:rPr>
        <w:t>The number of c</w:t>
      </w:r>
      <w:r w:rsidR="007851A8">
        <w:rPr>
          <w:rFonts w:ascii="Public Sans" w:eastAsia="Helvetica" w:hAnsi="Public Sans" w:cs="Segoe UI"/>
        </w:rPr>
        <w:t xml:space="preserve">alls to the Helpline in 2022 (13,624) </w:t>
      </w:r>
      <w:r w:rsidR="008D1B90">
        <w:rPr>
          <w:rFonts w:ascii="Public Sans" w:eastAsia="Helvetica" w:hAnsi="Public Sans" w:cs="Segoe UI"/>
        </w:rPr>
        <w:t>was</w:t>
      </w:r>
      <w:r w:rsidR="007851A8">
        <w:rPr>
          <w:rFonts w:ascii="Public Sans" w:eastAsia="Helvetica" w:hAnsi="Public Sans" w:cs="Segoe UI"/>
        </w:rPr>
        <w:t xml:space="preserve"> 8% </w:t>
      </w:r>
      <w:r w:rsidR="008D1B90">
        <w:rPr>
          <w:rFonts w:ascii="Public Sans" w:eastAsia="Helvetica" w:hAnsi="Public Sans" w:cs="Segoe UI"/>
        </w:rPr>
        <w:t>higher than</w:t>
      </w:r>
      <w:r w:rsidR="007851A8">
        <w:rPr>
          <w:rFonts w:ascii="Public Sans" w:eastAsia="Helvetica" w:hAnsi="Public Sans" w:cs="Segoe UI"/>
        </w:rPr>
        <w:t xml:space="preserve"> 2021 (12,617). </w:t>
      </w:r>
    </w:p>
    <w:p w:rsidR="00D57958" w:rsidRPr="00965C05" w:rsidRDefault="00D57958" w:rsidP="00D57958">
      <w:pPr>
        <w:pStyle w:val="Body"/>
        <w:widowControl w:val="0"/>
        <w:spacing w:after="0" w:line="240" w:lineRule="auto"/>
        <w:rPr>
          <w:rFonts w:ascii="Public Sans" w:eastAsia="Helvetica" w:hAnsi="Public Sans" w:cs="Segoe UI"/>
        </w:rPr>
      </w:pPr>
      <w:r w:rsidRPr="00965C05">
        <w:rPr>
          <w:rFonts w:ascii="Public Sans" w:eastAsia="Helvetica" w:hAnsi="Public Sans" w:cs="Segoe UI"/>
        </w:rPr>
        <w:t xml:space="preserve"> </w:t>
      </w:r>
    </w:p>
    <w:p w:rsidR="00D57958" w:rsidRPr="00965C05" w:rsidRDefault="00D57958" w:rsidP="0014378A">
      <w:pPr>
        <w:pStyle w:val="Body"/>
        <w:widowControl w:val="0"/>
        <w:spacing w:after="0" w:line="240" w:lineRule="auto"/>
        <w:rPr>
          <w:rFonts w:ascii="Public Sans" w:eastAsia="Helvetica" w:hAnsi="Public Sans" w:cs="Segoe UI"/>
          <w:b/>
          <w:sz w:val="18"/>
        </w:rPr>
      </w:pPr>
      <w:r w:rsidRPr="00965C05">
        <w:rPr>
          <w:rFonts w:ascii="Public Sans" w:eastAsia="Helvetica" w:hAnsi="Public Sans" w:cs="Segoe UI"/>
          <w:b/>
          <w:sz w:val="18"/>
        </w:rPr>
        <w:t xml:space="preserve">Figure 1: Number of calls received by the Ageing and Disability Abuse Helpline, by quarter, </w:t>
      </w:r>
      <w:r w:rsidR="00FA1880">
        <w:rPr>
          <w:rFonts w:ascii="Public Sans" w:eastAsia="Helvetica" w:hAnsi="Public Sans" w:cs="Segoe UI"/>
          <w:b/>
          <w:sz w:val="18"/>
        </w:rPr>
        <w:t>Oct</w:t>
      </w:r>
      <w:r w:rsidRPr="00965C05">
        <w:rPr>
          <w:rFonts w:ascii="Public Sans" w:eastAsia="Helvetica" w:hAnsi="Public Sans" w:cs="Segoe UI"/>
          <w:b/>
          <w:sz w:val="18"/>
        </w:rPr>
        <w:t xml:space="preserve"> 20</w:t>
      </w:r>
      <w:r w:rsidR="00035721">
        <w:rPr>
          <w:rFonts w:ascii="Public Sans" w:eastAsia="Helvetica" w:hAnsi="Public Sans" w:cs="Segoe UI"/>
          <w:b/>
          <w:sz w:val="18"/>
        </w:rPr>
        <w:t>20</w:t>
      </w:r>
      <w:r w:rsidRPr="00965C05">
        <w:rPr>
          <w:rFonts w:ascii="Public Sans" w:eastAsia="Helvetica" w:hAnsi="Public Sans" w:cs="Segoe UI"/>
          <w:b/>
          <w:sz w:val="18"/>
        </w:rPr>
        <w:t xml:space="preserve"> – </w:t>
      </w:r>
      <w:r w:rsidR="00FA1880">
        <w:rPr>
          <w:rFonts w:ascii="Public Sans" w:eastAsia="Helvetica" w:hAnsi="Public Sans" w:cs="Segoe UI"/>
          <w:b/>
          <w:sz w:val="18"/>
        </w:rPr>
        <w:t>Dec</w:t>
      </w:r>
      <w:r w:rsidRPr="00965C05">
        <w:rPr>
          <w:rFonts w:ascii="Public Sans" w:eastAsia="Helvetica" w:hAnsi="Public Sans" w:cs="Segoe UI"/>
          <w:b/>
          <w:sz w:val="18"/>
        </w:rPr>
        <w:t xml:space="preserve"> 2022</w:t>
      </w:r>
    </w:p>
    <w:p w:rsidR="00D57958" w:rsidRPr="00965C05" w:rsidRDefault="00F00626" w:rsidP="00D57958">
      <w:pPr>
        <w:pStyle w:val="Body"/>
        <w:widowControl w:val="0"/>
        <w:spacing w:after="0" w:line="240" w:lineRule="auto"/>
        <w:rPr>
          <w:rFonts w:ascii="Public Sans" w:hAnsi="Public Sans"/>
          <w:noProof/>
        </w:rPr>
      </w:pPr>
      <w:r>
        <w:rPr>
          <w:noProof/>
        </w:rPr>
        <w:drawing>
          <wp:inline distT="0" distB="0" distL="0" distR="0" wp14:anchorId="2134E05C" wp14:editId="206A5A96">
            <wp:extent cx="6115050" cy="18954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57958" w:rsidRPr="00613AF2" w:rsidRDefault="00D57958" w:rsidP="00014357">
      <w:pPr>
        <w:pStyle w:val="Body"/>
        <w:widowControl w:val="0"/>
        <w:spacing w:after="0" w:line="240" w:lineRule="auto"/>
        <w:rPr>
          <w:rFonts w:ascii="Public Sans" w:eastAsia="Helvetica" w:hAnsi="Public Sans" w:cs="Segoe UI"/>
          <w:sz w:val="18"/>
        </w:rPr>
      </w:pPr>
    </w:p>
    <w:p w:rsidR="00AB5515" w:rsidRPr="00B74CCF" w:rsidRDefault="00AB5515" w:rsidP="00AB5515">
      <w:pPr>
        <w:pStyle w:val="Heading3"/>
        <w:rPr>
          <w:rFonts w:ascii="Public Sans" w:hAnsi="Public Sans"/>
          <w:b/>
          <w:color w:val="auto"/>
        </w:rPr>
      </w:pPr>
      <w:r w:rsidRPr="00B74CCF">
        <w:rPr>
          <w:rFonts w:ascii="Public Sans" w:hAnsi="Public Sans"/>
          <w:b/>
          <w:color w:val="auto"/>
        </w:rPr>
        <w:t>1.2</w:t>
      </w:r>
      <w:r w:rsidRPr="00B74CCF">
        <w:rPr>
          <w:rFonts w:ascii="Public Sans" w:hAnsi="Public Sans"/>
          <w:b/>
          <w:color w:val="auto"/>
        </w:rPr>
        <w:tab/>
      </w:r>
      <w:r w:rsidR="00014357" w:rsidRPr="00B74CCF">
        <w:rPr>
          <w:rFonts w:ascii="Public Sans" w:hAnsi="Public Sans"/>
          <w:b/>
          <w:color w:val="auto"/>
        </w:rPr>
        <w:t>Number of reports and enquiries</w:t>
      </w:r>
    </w:p>
    <w:p w:rsidR="003D12AF" w:rsidRPr="005576E4" w:rsidRDefault="003D12AF" w:rsidP="003D12AF">
      <w:pPr>
        <w:pStyle w:val="Body"/>
        <w:widowControl w:val="0"/>
        <w:spacing w:before="120" w:after="0" w:line="240" w:lineRule="auto"/>
        <w:jc w:val="both"/>
        <w:rPr>
          <w:rFonts w:ascii="Public Sans" w:eastAsia="Helvetica" w:hAnsi="Public Sans" w:cs="Segoe UI"/>
        </w:rPr>
      </w:pPr>
      <w:r w:rsidRPr="005576E4">
        <w:rPr>
          <w:rFonts w:ascii="Public Sans" w:eastAsia="Helvetica" w:hAnsi="Public Sans" w:cs="Segoe UI"/>
        </w:rPr>
        <w:t xml:space="preserve">Between 1 </w:t>
      </w:r>
      <w:r w:rsidR="007851A8">
        <w:rPr>
          <w:rFonts w:ascii="Public Sans" w:eastAsia="Helvetica" w:hAnsi="Public Sans" w:cs="Segoe UI"/>
        </w:rPr>
        <w:t>October</w:t>
      </w:r>
      <w:r w:rsidRPr="005576E4">
        <w:rPr>
          <w:rFonts w:ascii="Public Sans" w:eastAsia="Helvetica" w:hAnsi="Public Sans" w:cs="Segoe UI"/>
        </w:rPr>
        <w:t xml:space="preserve"> and 3</w:t>
      </w:r>
      <w:r w:rsidR="007851A8">
        <w:rPr>
          <w:rFonts w:ascii="Public Sans" w:eastAsia="Helvetica" w:hAnsi="Public Sans" w:cs="Segoe UI"/>
        </w:rPr>
        <w:t>1 Dec</w:t>
      </w:r>
      <w:r w:rsidR="00035721">
        <w:rPr>
          <w:rFonts w:ascii="Public Sans" w:eastAsia="Helvetica" w:hAnsi="Public Sans" w:cs="Segoe UI"/>
        </w:rPr>
        <w:t>ember</w:t>
      </w:r>
      <w:r w:rsidRPr="005576E4">
        <w:rPr>
          <w:rFonts w:ascii="Public Sans" w:eastAsia="Helvetica" w:hAnsi="Public Sans" w:cs="Segoe UI"/>
        </w:rPr>
        <w:t xml:space="preserve"> 202</w:t>
      </w:r>
      <w:r w:rsidR="001359EE">
        <w:rPr>
          <w:rFonts w:ascii="Public Sans" w:eastAsia="Helvetica" w:hAnsi="Public Sans" w:cs="Segoe UI"/>
        </w:rPr>
        <w:t>2</w:t>
      </w:r>
      <w:r w:rsidRPr="005576E4">
        <w:rPr>
          <w:rFonts w:ascii="Public Sans" w:eastAsia="Helvetica" w:hAnsi="Public Sans" w:cs="Segoe UI"/>
        </w:rPr>
        <w:t xml:space="preserve">, the ADC received </w:t>
      </w:r>
      <w:r w:rsidRPr="005576E4">
        <w:rPr>
          <w:rFonts w:ascii="Public Sans" w:eastAsia="Helvetica" w:hAnsi="Public Sans" w:cs="Segoe UI"/>
          <w:b/>
        </w:rPr>
        <w:t>1,</w:t>
      </w:r>
      <w:r w:rsidR="00D026DB">
        <w:rPr>
          <w:rFonts w:ascii="Public Sans" w:eastAsia="Helvetica" w:hAnsi="Public Sans" w:cs="Segoe UI"/>
          <w:b/>
        </w:rPr>
        <w:t>184</w:t>
      </w:r>
      <w:r w:rsidR="00823835">
        <w:rPr>
          <w:rFonts w:ascii="Public Sans" w:eastAsia="Helvetica" w:hAnsi="Public Sans" w:cs="Segoe UI"/>
          <w:b/>
        </w:rPr>
        <w:t xml:space="preserve"> </w:t>
      </w:r>
      <w:r w:rsidRPr="005576E4">
        <w:rPr>
          <w:rFonts w:ascii="Public Sans" w:eastAsia="Helvetica" w:hAnsi="Public Sans" w:cs="Segoe UI"/>
          <w:b/>
        </w:rPr>
        <w:t>matters</w:t>
      </w:r>
      <w:r w:rsidRPr="005576E4">
        <w:rPr>
          <w:rFonts w:ascii="Public Sans" w:eastAsia="Helvetica" w:hAnsi="Public Sans" w:cs="Segoe UI"/>
        </w:rPr>
        <w:t>, comprising:</w:t>
      </w:r>
    </w:p>
    <w:p w:rsidR="003D12AF" w:rsidRPr="005576E4" w:rsidRDefault="00D026DB" w:rsidP="003D12AF">
      <w:pPr>
        <w:pStyle w:val="Body"/>
        <w:widowControl w:val="0"/>
        <w:numPr>
          <w:ilvl w:val="0"/>
          <w:numId w:val="39"/>
        </w:numPr>
        <w:spacing w:before="120" w:after="0" w:line="240" w:lineRule="auto"/>
        <w:ind w:left="709"/>
        <w:rPr>
          <w:rFonts w:ascii="Public Sans" w:eastAsia="Helvetica" w:hAnsi="Public Sans" w:cs="Segoe UI"/>
        </w:rPr>
      </w:pPr>
      <w:r>
        <w:rPr>
          <w:rFonts w:ascii="Public Sans" w:eastAsia="Helvetica" w:hAnsi="Public Sans" w:cs="Segoe UI"/>
          <w:b/>
        </w:rPr>
        <w:t>941</w:t>
      </w:r>
      <w:r w:rsidR="00035721">
        <w:rPr>
          <w:rFonts w:ascii="Public Sans" w:eastAsia="Helvetica" w:hAnsi="Public Sans" w:cs="Segoe UI"/>
          <w:b/>
        </w:rPr>
        <w:t xml:space="preserve"> </w:t>
      </w:r>
      <w:r w:rsidR="003D12AF" w:rsidRPr="005576E4">
        <w:rPr>
          <w:rFonts w:ascii="Public Sans" w:eastAsia="Helvetica" w:hAnsi="Public Sans" w:cs="Segoe UI"/>
          <w:b/>
        </w:rPr>
        <w:t>reports</w:t>
      </w:r>
      <w:r w:rsidR="003D12AF" w:rsidRPr="005576E4">
        <w:rPr>
          <w:rFonts w:ascii="Public Sans" w:eastAsia="Helvetica" w:hAnsi="Public Sans" w:cs="Segoe UI"/>
        </w:rPr>
        <w:t xml:space="preserve"> under section 13 of the </w:t>
      </w:r>
      <w:r w:rsidR="003D12AF" w:rsidRPr="005576E4">
        <w:rPr>
          <w:rFonts w:ascii="Public Sans" w:eastAsia="Helvetica" w:hAnsi="Public Sans" w:cs="Segoe UI"/>
          <w:i/>
        </w:rPr>
        <w:t>Ageing and Disability Commissioner Act 2019</w:t>
      </w:r>
    </w:p>
    <w:p w:rsidR="003D12AF" w:rsidRPr="005576E4" w:rsidRDefault="00D026DB" w:rsidP="003D12AF">
      <w:pPr>
        <w:pStyle w:val="Body"/>
        <w:widowControl w:val="0"/>
        <w:numPr>
          <w:ilvl w:val="0"/>
          <w:numId w:val="39"/>
        </w:numPr>
        <w:spacing w:before="120" w:after="0" w:line="240" w:lineRule="auto"/>
        <w:ind w:left="709"/>
        <w:rPr>
          <w:rFonts w:ascii="Public Sans" w:eastAsia="Helvetica" w:hAnsi="Public Sans" w:cs="Segoe UI"/>
        </w:rPr>
      </w:pPr>
      <w:r>
        <w:rPr>
          <w:rFonts w:ascii="Public Sans" w:eastAsia="Helvetica" w:hAnsi="Public Sans" w:cs="Segoe UI"/>
          <w:b/>
        </w:rPr>
        <w:t>243</w:t>
      </w:r>
      <w:r w:rsidR="003D12AF" w:rsidRPr="005576E4">
        <w:rPr>
          <w:rFonts w:ascii="Public Sans" w:eastAsia="Helvetica" w:hAnsi="Public Sans" w:cs="Segoe UI"/>
          <w:b/>
        </w:rPr>
        <w:t xml:space="preserve"> enquiries</w:t>
      </w:r>
      <w:r>
        <w:rPr>
          <w:rFonts w:ascii="Public Sans" w:eastAsia="Helvetica" w:hAnsi="Public Sans" w:cs="Segoe UI"/>
        </w:rPr>
        <w:t xml:space="preserve"> – involving 105</w:t>
      </w:r>
      <w:r w:rsidR="003D12AF" w:rsidRPr="005576E4">
        <w:rPr>
          <w:rFonts w:ascii="Public Sans" w:eastAsia="Helvetica" w:hAnsi="Public Sans" w:cs="Segoe UI"/>
        </w:rPr>
        <w:t xml:space="preserve"> general enquiries, and </w:t>
      </w:r>
      <w:r>
        <w:rPr>
          <w:rFonts w:ascii="Public Sans" w:eastAsia="Helvetica" w:hAnsi="Public Sans" w:cs="Segoe UI"/>
        </w:rPr>
        <w:t>138</w:t>
      </w:r>
      <w:r w:rsidR="003D12AF" w:rsidRPr="005576E4">
        <w:rPr>
          <w:rFonts w:ascii="Public Sans" w:eastAsia="Helvetica" w:hAnsi="Public Sans" w:cs="Segoe UI"/>
        </w:rPr>
        <w:t xml:space="preserve"> abuse-related enquiries. </w:t>
      </w:r>
    </w:p>
    <w:p w:rsidR="003D12AF" w:rsidRPr="005576E4" w:rsidRDefault="003D12AF" w:rsidP="003D12AF">
      <w:pPr>
        <w:spacing w:after="0" w:line="240" w:lineRule="auto"/>
        <w:rPr>
          <w:rFonts w:ascii="Public Sans" w:hAnsi="Public Sans" w:cs="Segoe UI"/>
          <w:b/>
          <w:sz w:val="20"/>
          <w:highlight w:val="yellow"/>
        </w:rPr>
      </w:pPr>
    </w:p>
    <w:p w:rsidR="003D12AF" w:rsidRPr="005576E4" w:rsidRDefault="001609A4" w:rsidP="003D12AF">
      <w:pPr>
        <w:spacing w:after="0" w:line="240" w:lineRule="auto"/>
        <w:rPr>
          <w:rFonts w:ascii="Public Sans" w:hAnsi="Public Sans" w:cs="Segoe UI"/>
        </w:rPr>
      </w:pPr>
      <w:r>
        <w:rPr>
          <w:rFonts w:ascii="Public Sans" w:hAnsi="Public Sans" w:cs="Segoe UI"/>
        </w:rPr>
        <w:t xml:space="preserve">The number of reports in </w:t>
      </w:r>
      <w:r w:rsidR="00D026DB">
        <w:rPr>
          <w:rFonts w:ascii="Public Sans" w:hAnsi="Public Sans" w:cs="Segoe UI"/>
        </w:rPr>
        <w:t>October</w:t>
      </w:r>
      <w:r>
        <w:rPr>
          <w:rFonts w:ascii="Public Sans" w:hAnsi="Public Sans" w:cs="Segoe UI"/>
        </w:rPr>
        <w:t xml:space="preserve"> – </w:t>
      </w:r>
      <w:r w:rsidR="00D026DB">
        <w:rPr>
          <w:rFonts w:ascii="Public Sans" w:hAnsi="Public Sans" w:cs="Segoe UI"/>
        </w:rPr>
        <w:t>December</w:t>
      </w:r>
      <w:r>
        <w:rPr>
          <w:rFonts w:ascii="Public Sans" w:hAnsi="Public Sans" w:cs="Segoe UI"/>
        </w:rPr>
        <w:t xml:space="preserve"> was </w:t>
      </w:r>
      <w:r w:rsidR="007F41BF">
        <w:rPr>
          <w:rFonts w:ascii="Public Sans" w:hAnsi="Public Sans" w:cs="Segoe UI"/>
        </w:rPr>
        <w:t>15</w:t>
      </w:r>
      <w:r w:rsidR="00D026DB">
        <w:rPr>
          <w:rFonts w:ascii="Public Sans" w:hAnsi="Public Sans" w:cs="Segoe UI"/>
        </w:rPr>
        <w:t>.6</w:t>
      </w:r>
      <w:r>
        <w:rPr>
          <w:rFonts w:ascii="Public Sans" w:hAnsi="Public Sans" w:cs="Segoe UI"/>
        </w:rPr>
        <w:t xml:space="preserve">% </w:t>
      </w:r>
      <w:r w:rsidR="00D026DB">
        <w:rPr>
          <w:rFonts w:ascii="Public Sans" w:hAnsi="Public Sans" w:cs="Segoe UI"/>
        </w:rPr>
        <w:t>lower</w:t>
      </w:r>
      <w:r>
        <w:rPr>
          <w:rFonts w:ascii="Public Sans" w:hAnsi="Public Sans" w:cs="Segoe UI"/>
        </w:rPr>
        <w:t xml:space="preserve"> than the previous quarter, and </w:t>
      </w:r>
      <w:r w:rsidR="00D026DB">
        <w:rPr>
          <w:rFonts w:ascii="Public Sans" w:hAnsi="Public Sans" w:cs="Segoe UI"/>
        </w:rPr>
        <w:t>unchanged from</w:t>
      </w:r>
      <w:r>
        <w:rPr>
          <w:rFonts w:ascii="Public Sans" w:hAnsi="Public Sans" w:cs="Segoe UI"/>
        </w:rPr>
        <w:t xml:space="preserve"> the same period last year.</w:t>
      </w:r>
      <w:r w:rsidR="00D026DB">
        <w:rPr>
          <w:rFonts w:ascii="Public Sans" w:hAnsi="Public Sans" w:cs="Segoe UI"/>
        </w:rPr>
        <w:t xml:space="preserve"> The </w:t>
      </w:r>
      <w:r w:rsidR="007F41BF">
        <w:rPr>
          <w:rFonts w:ascii="Public Sans" w:hAnsi="Public Sans" w:cs="Segoe UI"/>
        </w:rPr>
        <w:t xml:space="preserve">number of reports in 2022 </w:t>
      </w:r>
      <w:r w:rsidR="008D1B90">
        <w:rPr>
          <w:rFonts w:ascii="Public Sans" w:hAnsi="Public Sans" w:cs="Segoe UI"/>
        </w:rPr>
        <w:t xml:space="preserve">was 7.9% higher than 2021. </w:t>
      </w:r>
    </w:p>
    <w:p w:rsidR="003D12AF" w:rsidRPr="00613AF2" w:rsidRDefault="003D12AF" w:rsidP="003D12AF">
      <w:pPr>
        <w:spacing w:after="0" w:line="240" w:lineRule="auto"/>
        <w:rPr>
          <w:rFonts w:ascii="Public Sans" w:hAnsi="Public Sans" w:cs="Segoe UI"/>
          <w:b/>
          <w:sz w:val="18"/>
        </w:rPr>
      </w:pPr>
    </w:p>
    <w:p w:rsidR="003D12AF" w:rsidRPr="00B74CCF" w:rsidRDefault="003D12AF" w:rsidP="003D12AF">
      <w:pPr>
        <w:spacing w:after="0" w:line="240" w:lineRule="auto"/>
        <w:rPr>
          <w:rFonts w:ascii="Public Sans" w:eastAsia="Arial Unicode MS" w:hAnsi="Public Sans" w:cs="Segoe UI"/>
          <w:b/>
          <w:sz w:val="20"/>
          <w:szCs w:val="24"/>
        </w:rPr>
      </w:pPr>
      <w:r w:rsidRPr="00B74CCF">
        <w:rPr>
          <w:rFonts w:ascii="Public Sans" w:hAnsi="Public Sans" w:cs="Segoe UI"/>
          <w:b/>
          <w:sz w:val="18"/>
        </w:rPr>
        <w:t xml:space="preserve">Figure 2: </w:t>
      </w:r>
      <w:r w:rsidRPr="00B74CCF">
        <w:rPr>
          <w:rFonts w:ascii="Public Sans" w:eastAsia="Arial Unicode MS" w:hAnsi="Public Sans" w:cs="Segoe UI"/>
          <w:b/>
          <w:sz w:val="18"/>
          <w:szCs w:val="24"/>
        </w:rPr>
        <w:t xml:space="preserve">All matters received by the ADC, by quarter, </w:t>
      </w:r>
      <w:r w:rsidR="00D026DB">
        <w:rPr>
          <w:rFonts w:ascii="Public Sans" w:eastAsia="Arial Unicode MS" w:hAnsi="Public Sans" w:cs="Segoe UI"/>
          <w:b/>
          <w:sz w:val="18"/>
          <w:szCs w:val="24"/>
        </w:rPr>
        <w:t>Oct</w:t>
      </w:r>
      <w:r w:rsidRPr="00B74CCF">
        <w:rPr>
          <w:rFonts w:ascii="Public Sans" w:eastAsia="Arial Unicode MS" w:hAnsi="Public Sans" w:cs="Segoe UI"/>
          <w:b/>
          <w:sz w:val="18"/>
          <w:szCs w:val="24"/>
        </w:rPr>
        <w:t xml:space="preserve"> 20</w:t>
      </w:r>
      <w:r w:rsidR="001359EE">
        <w:rPr>
          <w:rFonts w:ascii="Public Sans" w:eastAsia="Arial Unicode MS" w:hAnsi="Public Sans" w:cs="Segoe UI"/>
          <w:b/>
          <w:sz w:val="18"/>
          <w:szCs w:val="24"/>
        </w:rPr>
        <w:t>20</w:t>
      </w:r>
      <w:r w:rsidRPr="00B74CCF">
        <w:rPr>
          <w:rFonts w:ascii="Public Sans" w:eastAsia="Arial Unicode MS" w:hAnsi="Public Sans" w:cs="Segoe UI"/>
          <w:b/>
          <w:sz w:val="18"/>
          <w:szCs w:val="24"/>
        </w:rPr>
        <w:t xml:space="preserve"> – </w:t>
      </w:r>
      <w:r w:rsidR="00D026DB">
        <w:rPr>
          <w:rFonts w:ascii="Public Sans" w:eastAsia="Arial Unicode MS" w:hAnsi="Public Sans" w:cs="Segoe UI"/>
          <w:b/>
          <w:sz w:val="18"/>
          <w:szCs w:val="24"/>
        </w:rPr>
        <w:t>Dec</w:t>
      </w:r>
      <w:r w:rsidRPr="00B74CCF">
        <w:rPr>
          <w:rFonts w:ascii="Public Sans" w:eastAsia="Arial Unicode MS" w:hAnsi="Public Sans" w:cs="Segoe UI"/>
          <w:b/>
          <w:sz w:val="18"/>
          <w:szCs w:val="24"/>
        </w:rPr>
        <w:t xml:space="preserve"> 202</w:t>
      </w:r>
      <w:r w:rsidR="001359EE">
        <w:rPr>
          <w:rFonts w:ascii="Public Sans" w:eastAsia="Arial Unicode MS" w:hAnsi="Public Sans" w:cs="Segoe UI"/>
          <w:b/>
          <w:sz w:val="18"/>
          <w:szCs w:val="24"/>
        </w:rPr>
        <w:t>2</w:t>
      </w:r>
    </w:p>
    <w:p w:rsidR="003D12AF" w:rsidRDefault="00D026DB" w:rsidP="003D12AF">
      <w:pPr>
        <w:spacing w:after="0" w:line="240" w:lineRule="auto"/>
        <w:rPr>
          <w:rFonts w:ascii="Public Sans" w:eastAsia="Arial Unicode MS" w:hAnsi="Public Sans" w:cs="Segoe UI"/>
          <w:b/>
          <w:sz w:val="20"/>
          <w:szCs w:val="24"/>
        </w:rPr>
      </w:pPr>
      <w:r>
        <w:rPr>
          <w:noProof/>
          <w:lang w:eastAsia="en-AU"/>
        </w:rPr>
        <w:drawing>
          <wp:inline distT="0" distB="0" distL="0" distR="0" wp14:anchorId="77273D62" wp14:editId="1668B271">
            <wp:extent cx="6115050" cy="22669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403D8" w:rsidRPr="00B74CCF" w:rsidRDefault="003D0AF3" w:rsidP="00E134D4">
      <w:pPr>
        <w:pStyle w:val="Heading1"/>
        <w:numPr>
          <w:ilvl w:val="0"/>
          <w:numId w:val="10"/>
        </w:numPr>
        <w:spacing w:before="0" w:after="0"/>
        <w:ind w:left="426" w:hanging="426"/>
        <w:rPr>
          <w:rFonts w:ascii="Public Sans" w:hAnsi="Public Sans"/>
          <w:b/>
          <w:color w:val="auto"/>
        </w:rPr>
      </w:pPr>
      <w:r w:rsidRPr="00B74CCF">
        <w:rPr>
          <w:rFonts w:ascii="Public Sans" w:hAnsi="Public Sans"/>
          <w:b/>
          <w:color w:val="auto"/>
        </w:rPr>
        <w:t>Person status and d</w:t>
      </w:r>
      <w:r w:rsidR="00DE7A39" w:rsidRPr="00B74CCF">
        <w:rPr>
          <w:rFonts w:ascii="Public Sans" w:hAnsi="Public Sans"/>
          <w:b/>
          <w:color w:val="auto"/>
        </w:rPr>
        <w:t>emographic</w:t>
      </w:r>
      <w:r w:rsidRPr="00B74CCF">
        <w:rPr>
          <w:rFonts w:ascii="Public Sans" w:hAnsi="Public Sans"/>
          <w:b/>
          <w:color w:val="auto"/>
        </w:rPr>
        <w:t>s</w:t>
      </w:r>
      <w:r w:rsidR="00DE7A39" w:rsidRPr="00B74CCF">
        <w:rPr>
          <w:rFonts w:ascii="Public Sans" w:hAnsi="Public Sans"/>
          <w:b/>
          <w:color w:val="auto"/>
        </w:rPr>
        <w:t xml:space="preserve"> </w:t>
      </w:r>
    </w:p>
    <w:p w:rsidR="00214713" w:rsidRPr="00B74CCF" w:rsidRDefault="00214713" w:rsidP="00214713">
      <w:pPr>
        <w:spacing w:after="0" w:line="240" w:lineRule="auto"/>
        <w:rPr>
          <w:rFonts w:ascii="Public Sans" w:hAnsi="Public Sans"/>
        </w:rPr>
      </w:pPr>
    </w:p>
    <w:p w:rsidR="003D0AF3" w:rsidRPr="00B74CCF" w:rsidRDefault="003D0AF3" w:rsidP="00214713">
      <w:pPr>
        <w:pStyle w:val="Heading2"/>
        <w:spacing w:before="0"/>
        <w:rPr>
          <w:rFonts w:ascii="Public Sans" w:hAnsi="Public Sans"/>
          <w:b/>
          <w:color w:val="auto"/>
        </w:rPr>
      </w:pPr>
      <w:r w:rsidRPr="00B74CCF">
        <w:rPr>
          <w:rFonts w:ascii="Public Sans" w:hAnsi="Public Sans"/>
          <w:b/>
          <w:color w:val="auto"/>
        </w:rPr>
        <w:t>2.1</w:t>
      </w:r>
      <w:r w:rsidRPr="00B74CCF">
        <w:rPr>
          <w:rFonts w:ascii="Public Sans" w:hAnsi="Public Sans"/>
          <w:b/>
          <w:color w:val="auto"/>
        </w:rPr>
        <w:tab/>
      </w:r>
      <w:r w:rsidR="00EC4EA0" w:rsidRPr="00B74CCF">
        <w:rPr>
          <w:rFonts w:ascii="Public Sans" w:hAnsi="Public Sans"/>
          <w:b/>
          <w:color w:val="auto"/>
        </w:rPr>
        <w:t>Person status</w:t>
      </w:r>
    </w:p>
    <w:p w:rsidR="003D0AF3" w:rsidRPr="005576E4" w:rsidRDefault="003D0AF3" w:rsidP="003D0AF3">
      <w:pPr>
        <w:pStyle w:val="Body"/>
        <w:widowControl w:val="0"/>
        <w:spacing w:after="0" w:line="240" w:lineRule="auto"/>
        <w:rPr>
          <w:rFonts w:ascii="Public Sans" w:eastAsia="Helvetica" w:hAnsi="Public Sans" w:cs="Segoe UI"/>
          <w:sz w:val="20"/>
        </w:rPr>
      </w:pPr>
    </w:p>
    <w:p w:rsidR="00E50CEF" w:rsidRPr="005576E4" w:rsidRDefault="00E50CEF" w:rsidP="00E50CEF">
      <w:pPr>
        <w:pStyle w:val="Body"/>
        <w:widowControl w:val="0"/>
        <w:spacing w:after="0" w:line="240" w:lineRule="auto"/>
        <w:rPr>
          <w:rFonts w:ascii="Public Sans" w:eastAsia="Helvetica" w:hAnsi="Public Sans" w:cs="Segoe UI"/>
        </w:rPr>
      </w:pPr>
      <w:r w:rsidRPr="005576E4">
        <w:rPr>
          <w:rFonts w:ascii="Public Sans" w:eastAsia="Helvetica" w:hAnsi="Public Sans" w:cs="Segoe UI"/>
        </w:rPr>
        <w:t xml:space="preserve">Of the </w:t>
      </w:r>
      <w:r w:rsidR="00BA198E">
        <w:rPr>
          <w:rFonts w:ascii="Public Sans" w:eastAsia="Helvetica" w:hAnsi="Public Sans" w:cs="Segoe UI"/>
        </w:rPr>
        <w:t>941</w:t>
      </w:r>
      <w:r w:rsidRPr="005576E4">
        <w:rPr>
          <w:rFonts w:ascii="Public Sans" w:eastAsia="Helvetica" w:hAnsi="Public Sans" w:cs="Segoe UI"/>
        </w:rPr>
        <w:t xml:space="preserve"> reports received by the ADC </w:t>
      </w:r>
      <w:r w:rsidR="00F75B36">
        <w:rPr>
          <w:rFonts w:ascii="Public Sans" w:eastAsia="Helvetica" w:hAnsi="Public Sans" w:cs="Segoe UI"/>
        </w:rPr>
        <w:t>in</w:t>
      </w:r>
      <w:r w:rsidRPr="005576E4">
        <w:rPr>
          <w:rFonts w:ascii="Public Sans" w:eastAsia="Helvetica" w:hAnsi="Public Sans" w:cs="Segoe UI"/>
        </w:rPr>
        <w:t xml:space="preserve"> </w:t>
      </w:r>
      <w:r w:rsidR="00BA198E">
        <w:rPr>
          <w:rFonts w:ascii="Public Sans" w:eastAsia="Helvetica" w:hAnsi="Public Sans" w:cs="Segoe UI"/>
        </w:rPr>
        <w:t>October</w:t>
      </w:r>
      <w:r w:rsidRPr="005576E4">
        <w:rPr>
          <w:rFonts w:ascii="Public Sans" w:eastAsia="Helvetica" w:hAnsi="Public Sans" w:cs="Segoe UI"/>
        </w:rPr>
        <w:t xml:space="preserve"> </w:t>
      </w:r>
      <w:r w:rsidR="00F75B36">
        <w:rPr>
          <w:rFonts w:ascii="Public Sans" w:eastAsia="Helvetica" w:hAnsi="Public Sans" w:cs="Segoe UI"/>
        </w:rPr>
        <w:t xml:space="preserve">– </w:t>
      </w:r>
      <w:r w:rsidR="00BA198E">
        <w:rPr>
          <w:rFonts w:ascii="Public Sans" w:eastAsia="Helvetica" w:hAnsi="Public Sans" w:cs="Segoe UI"/>
        </w:rPr>
        <w:t>Dec</w:t>
      </w:r>
      <w:r w:rsidR="00FF7AD5">
        <w:rPr>
          <w:rFonts w:ascii="Public Sans" w:eastAsia="Helvetica" w:hAnsi="Public Sans" w:cs="Segoe UI"/>
        </w:rPr>
        <w:t>ember</w:t>
      </w:r>
      <w:r w:rsidRPr="005576E4">
        <w:rPr>
          <w:rFonts w:ascii="Public Sans" w:eastAsia="Helvetica" w:hAnsi="Public Sans" w:cs="Segoe UI"/>
        </w:rPr>
        <w:t xml:space="preserve"> 202</w:t>
      </w:r>
      <w:r w:rsidR="003847E0">
        <w:rPr>
          <w:rFonts w:ascii="Public Sans" w:eastAsia="Helvetica" w:hAnsi="Public Sans" w:cs="Segoe UI"/>
        </w:rPr>
        <w:t>2</w:t>
      </w:r>
      <w:r w:rsidRPr="005576E4">
        <w:rPr>
          <w:rFonts w:ascii="Public Sans" w:eastAsia="Helvetica" w:hAnsi="Public Sans" w:cs="Segoe UI"/>
        </w:rPr>
        <w:t>:</w:t>
      </w:r>
    </w:p>
    <w:p w:rsidR="00E50CEF" w:rsidRPr="005576E4" w:rsidRDefault="00B0100A" w:rsidP="00E50CEF">
      <w:pPr>
        <w:pStyle w:val="Body"/>
        <w:widowControl w:val="0"/>
        <w:numPr>
          <w:ilvl w:val="0"/>
          <w:numId w:val="1"/>
        </w:numPr>
        <w:spacing w:before="120" w:after="0" w:line="240" w:lineRule="auto"/>
        <w:rPr>
          <w:rFonts w:ascii="Public Sans" w:eastAsia="Helvetica" w:hAnsi="Public Sans" w:cs="Segoe UI"/>
        </w:rPr>
      </w:pPr>
      <w:r>
        <w:rPr>
          <w:rFonts w:ascii="Public Sans" w:eastAsia="Helvetica" w:hAnsi="Public Sans" w:cs="Segoe UI"/>
          <w:b/>
        </w:rPr>
        <w:t>714</w:t>
      </w:r>
      <w:r w:rsidR="00E50CEF" w:rsidRPr="005576E4">
        <w:rPr>
          <w:rFonts w:ascii="Public Sans" w:eastAsia="Helvetica" w:hAnsi="Public Sans" w:cs="Segoe UI"/>
          <w:b/>
        </w:rPr>
        <w:t xml:space="preserve"> reports (</w:t>
      </w:r>
      <w:r w:rsidR="0014378A">
        <w:rPr>
          <w:rFonts w:ascii="Public Sans" w:eastAsia="Helvetica" w:hAnsi="Public Sans" w:cs="Segoe UI"/>
          <w:b/>
        </w:rPr>
        <w:t>7</w:t>
      </w:r>
      <w:r>
        <w:rPr>
          <w:rFonts w:ascii="Public Sans" w:eastAsia="Helvetica" w:hAnsi="Public Sans" w:cs="Segoe UI"/>
          <w:b/>
        </w:rPr>
        <w:t>5</w:t>
      </w:r>
      <w:r w:rsidR="00FF7AD5">
        <w:rPr>
          <w:rFonts w:ascii="Public Sans" w:eastAsia="Helvetica" w:hAnsi="Public Sans" w:cs="Segoe UI"/>
          <w:b/>
        </w:rPr>
        <w:t>.</w:t>
      </w:r>
      <w:r>
        <w:rPr>
          <w:rFonts w:ascii="Public Sans" w:eastAsia="Helvetica" w:hAnsi="Public Sans" w:cs="Segoe UI"/>
          <w:b/>
        </w:rPr>
        <w:t>9</w:t>
      </w:r>
      <w:r w:rsidR="00E50CEF" w:rsidRPr="005576E4">
        <w:rPr>
          <w:rFonts w:ascii="Public Sans" w:eastAsia="Helvetica" w:hAnsi="Public Sans" w:cs="Segoe UI"/>
          <w:b/>
        </w:rPr>
        <w:t>%) involved older people</w:t>
      </w:r>
      <w:r w:rsidR="00E50CEF" w:rsidRPr="005576E4">
        <w:rPr>
          <w:rStyle w:val="FootnoteReference"/>
          <w:rFonts w:ascii="Public Sans" w:eastAsia="Helvetica" w:hAnsi="Public Sans" w:cs="Segoe UI"/>
        </w:rPr>
        <w:footnoteReference w:id="1"/>
      </w:r>
      <w:r w:rsidR="00E50CEF" w:rsidRPr="005576E4">
        <w:rPr>
          <w:rFonts w:ascii="Public Sans" w:eastAsia="Helvetica" w:hAnsi="Public Sans" w:cs="Segoe UI"/>
        </w:rPr>
        <w:t xml:space="preserve">, including </w:t>
      </w:r>
      <w:r w:rsidR="003847E0">
        <w:rPr>
          <w:rFonts w:ascii="Public Sans" w:eastAsia="Helvetica" w:hAnsi="Public Sans" w:cs="Segoe UI"/>
        </w:rPr>
        <w:t>2</w:t>
      </w:r>
      <w:r w:rsidR="00FF7AD5">
        <w:rPr>
          <w:rFonts w:ascii="Public Sans" w:eastAsia="Helvetica" w:hAnsi="Public Sans" w:cs="Segoe UI"/>
        </w:rPr>
        <w:t>94</w:t>
      </w:r>
      <w:r w:rsidR="00E50CEF" w:rsidRPr="005576E4">
        <w:rPr>
          <w:rFonts w:ascii="Public Sans" w:eastAsia="Helvetica" w:hAnsi="Public Sans" w:cs="Segoe UI"/>
        </w:rPr>
        <w:t xml:space="preserve"> reports relating to older people with disability </w:t>
      </w:r>
    </w:p>
    <w:p w:rsidR="00E50CEF" w:rsidRPr="005576E4" w:rsidRDefault="00FD7E5A" w:rsidP="00E50CEF">
      <w:pPr>
        <w:pStyle w:val="Body"/>
        <w:widowControl w:val="0"/>
        <w:numPr>
          <w:ilvl w:val="0"/>
          <w:numId w:val="1"/>
        </w:numPr>
        <w:spacing w:before="120" w:after="0" w:line="240" w:lineRule="auto"/>
        <w:ind w:left="714" w:hanging="357"/>
        <w:rPr>
          <w:rFonts w:ascii="Public Sans" w:eastAsia="Helvetica" w:hAnsi="Public Sans" w:cs="Segoe UI"/>
        </w:rPr>
      </w:pPr>
      <w:r>
        <w:rPr>
          <w:rFonts w:ascii="Public Sans" w:eastAsia="Helvetica" w:hAnsi="Public Sans" w:cs="Segoe UI"/>
          <w:b/>
        </w:rPr>
        <w:t>2</w:t>
      </w:r>
      <w:r w:rsidR="00B0100A">
        <w:rPr>
          <w:rFonts w:ascii="Public Sans" w:eastAsia="Helvetica" w:hAnsi="Public Sans" w:cs="Segoe UI"/>
          <w:b/>
        </w:rPr>
        <w:t>27</w:t>
      </w:r>
      <w:r w:rsidR="00E50CEF" w:rsidRPr="005576E4">
        <w:rPr>
          <w:rFonts w:ascii="Public Sans" w:eastAsia="Helvetica" w:hAnsi="Public Sans" w:cs="Segoe UI"/>
          <w:b/>
        </w:rPr>
        <w:t xml:space="preserve"> reports (</w:t>
      </w:r>
      <w:r>
        <w:rPr>
          <w:rFonts w:ascii="Public Sans" w:eastAsia="Helvetica" w:hAnsi="Public Sans" w:cs="Segoe UI"/>
          <w:b/>
        </w:rPr>
        <w:t>2</w:t>
      </w:r>
      <w:r w:rsidR="00B0100A">
        <w:rPr>
          <w:rFonts w:ascii="Public Sans" w:eastAsia="Helvetica" w:hAnsi="Public Sans" w:cs="Segoe UI"/>
          <w:b/>
        </w:rPr>
        <w:t>4</w:t>
      </w:r>
      <w:r>
        <w:rPr>
          <w:rFonts w:ascii="Public Sans" w:eastAsia="Helvetica" w:hAnsi="Public Sans" w:cs="Segoe UI"/>
          <w:b/>
        </w:rPr>
        <w:t>.</w:t>
      </w:r>
      <w:r w:rsidR="00B0100A">
        <w:rPr>
          <w:rFonts w:ascii="Public Sans" w:eastAsia="Helvetica" w:hAnsi="Public Sans" w:cs="Segoe UI"/>
          <w:b/>
        </w:rPr>
        <w:t>1</w:t>
      </w:r>
      <w:r w:rsidR="00E50CEF" w:rsidRPr="005576E4">
        <w:rPr>
          <w:rFonts w:ascii="Public Sans" w:eastAsia="Helvetica" w:hAnsi="Public Sans" w:cs="Segoe UI"/>
          <w:b/>
        </w:rPr>
        <w:t>%) involved adults with disability</w:t>
      </w:r>
      <w:r w:rsidR="00E50CEF" w:rsidRPr="005576E4">
        <w:rPr>
          <w:rStyle w:val="FootnoteReference"/>
          <w:rFonts w:ascii="Public Sans" w:eastAsia="Helvetica" w:hAnsi="Public Sans" w:cs="Segoe UI"/>
        </w:rPr>
        <w:footnoteReference w:id="2"/>
      </w:r>
      <w:r w:rsidR="00E50CEF" w:rsidRPr="005576E4">
        <w:rPr>
          <w:rFonts w:ascii="Public Sans" w:eastAsia="Helvetica" w:hAnsi="Public Sans" w:cs="Segoe UI"/>
        </w:rPr>
        <w:t xml:space="preserve"> who were not older people.</w:t>
      </w:r>
    </w:p>
    <w:p w:rsidR="00E50CEF" w:rsidRPr="005576E4" w:rsidRDefault="00E50CEF" w:rsidP="00E50CEF">
      <w:pPr>
        <w:pStyle w:val="Body"/>
        <w:widowControl w:val="0"/>
        <w:spacing w:after="0" w:line="240" w:lineRule="auto"/>
        <w:rPr>
          <w:rFonts w:ascii="Public Sans" w:eastAsia="Helvetica" w:hAnsi="Public Sans" w:cs="Segoe UI"/>
          <w:sz w:val="20"/>
        </w:rPr>
      </w:pPr>
    </w:p>
    <w:p w:rsidR="00E50CEF" w:rsidRPr="005576E4" w:rsidRDefault="00E50CEF" w:rsidP="00E50CEF">
      <w:pPr>
        <w:spacing w:after="0" w:line="240" w:lineRule="auto"/>
        <w:rPr>
          <w:rFonts w:ascii="Public Sans" w:hAnsi="Public Sans" w:cs="Segoe UI"/>
          <w:b/>
        </w:rPr>
      </w:pPr>
      <w:r w:rsidRPr="00B74CCF">
        <w:rPr>
          <w:rFonts w:ascii="Public Sans" w:eastAsia="Arial Unicode MS" w:hAnsi="Public Sans" w:cs="Segoe UI"/>
          <w:b/>
          <w:sz w:val="18"/>
          <w:szCs w:val="24"/>
        </w:rPr>
        <w:t xml:space="preserve">Figure 3: All reports received by the ADC, by cohort, </w:t>
      </w:r>
      <w:r w:rsidR="00B0100A">
        <w:rPr>
          <w:rFonts w:ascii="Public Sans" w:eastAsia="Arial Unicode MS" w:hAnsi="Public Sans" w:cs="Segoe UI"/>
          <w:b/>
          <w:sz w:val="18"/>
          <w:szCs w:val="24"/>
        </w:rPr>
        <w:t>Oct</w:t>
      </w:r>
      <w:r w:rsidRPr="00B74CCF">
        <w:rPr>
          <w:rFonts w:ascii="Public Sans" w:eastAsia="Arial Unicode MS" w:hAnsi="Public Sans" w:cs="Segoe UI"/>
          <w:b/>
          <w:sz w:val="18"/>
          <w:szCs w:val="24"/>
        </w:rPr>
        <w:t>-</w:t>
      </w:r>
      <w:r w:rsidR="00B0100A">
        <w:rPr>
          <w:rFonts w:ascii="Public Sans" w:eastAsia="Arial Unicode MS" w:hAnsi="Public Sans" w:cs="Segoe UI"/>
          <w:b/>
          <w:sz w:val="18"/>
          <w:szCs w:val="24"/>
        </w:rPr>
        <w:t>Dec</w:t>
      </w:r>
      <w:r w:rsidRPr="00B74CCF">
        <w:rPr>
          <w:rFonts w:ascii="Public Sans" w:eastAsia="Arial Unicode MS" w:hAnsi="Public Sans" w:cs="Segoe UI"/>
          <w:b/>
          <w:sz w:val="18"/>
          <w:szCs w:val="24"/>
        </w:rPr>
        <w:t xml:space="preserve"> 202</w:t>
      </w:r>
      <w:r w:rsidR="003847E0">
        <w:rPr>
          <w:rFonts w:ascii="Public Sans" w:eastAsia="Arial Unicode MS" w:hAnsi="Public Sans" w:cs="Segoe UI"/>
          <w:b/>
          <w:sz w:val="18"/>
          <w:szCs w:val="24"/>
        </w:rPr>
        <w:t>2</w:t>
      </w:r>
    </w:p>
    <w:p w:rsidR="00613AF2" w:rsidRPr="00613AF2" w:rsidRDefault="00BA198E" w:rsidP="00613AF2">
      <w:pPr>
        <w:spacing w:after="0"/>
      </w:pPr>
      <w:r>
        <w:rPr>
          <w:noProof/>
          <w:lang w:eastAsia="en-AU"/>
        </w:rPr>
        <w:lastRenderedPageBreak/>
        <w:drawing>
          <wp:inline distT="0" distB="0" distL="0" distR="0" wp14:anchorId="0B5039A7" wp14:editId="333E3E15">
            <wp:extent cx="5962650" cy="20383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431E0" w:rsidRDefault="009431E0" w:rsidP="00EC4EA0">
      <w:pPr>
        <w:pStyle w:val="Heading2"/>
        <w:spacing w:before="0"/>
        <w:rPr>
          <w:rFonts w:ascii="Public Sans" w:eastAsia="Helvetica" w:hAnsi="Public Sans"/>
          <w:b/>
          <w:color w:val="auto"/>
          <w:sz w:val="24"/>
        </w:rPr>
      </w:pPr>
    </w:p>
    <w:p w:rsidR="0084215E" w:rsidRPr="0084215E" w:rsidRDefault="0084215E" w:rsidP="0084215E">
      <w:pPr>
        <w:spacing w:after="0" w:line="240" w:lineRule="auto"/>
      </w:pPr>
    </w:p>
    <w:p w:rsidR="00EC4EA0" w:rsidRPr="00B74CCF" w:rsidRDefault="00EC4EA0" w:rsidP="00EC4EA0">
      <w:pPr>
        <w:pStyle w:val="Heading2"/>
        <w:spacing w:before="0"/>
        <w:rPr>
          <w:rFonts w:ascii="Public Sans" w:eastAsia="Helvetica" w:hAnsi="Public Sans"/>
          <w:b/>
          <w:color w:val="auto"/>
        </w:rPr>
      </w:pPr>
      <w:r w:rsidRPr="00B74CCF">
        <w:rPr>
          <w:rFonts w:ascii="Public Sans" w:eastAsia="Helvetica" w:hAnsi="Public Sans"/>
          <w:b/>
          <w:color w:val="auto"/>
        </w:rPr>
        <w:t xml:space="preserve">2.2 </w:t>
      </w:r>
      <w:r w:rsidR="00631A3A" w:rsidRPr="00B74CCF">
        <w:rPr>
          <w:rFonts w:ascii="Public Sans" w:eastAsia="Helvetica" w:hAnsi="Public Sans"/>
          <w:b/>
          <w:color w:val="auto"/>
        </w:rPr>
        <w:tab/>
      </w:r>
      <w:r w:rsidRPr="00B74CCF">
        <w:rPr>
          <w:rFonts w:ascii="Public Sans" w:eastAsia="Helvetica" w:hAnsi="Public Sans"/>
          <w:b/>
          <w:color w:val="auto"/>
        </w:rPr>
        <w:t xml:space="preserve">Aboriginal and Torres Strait Islander </w:t>
      </w:r>
      <w:r w:rsidR="009D5312">
        <w:rPr>
          <w:rFonts w:ascii="Public Sans" w:eastAsia="Helvetica" w:hAnsi="Public Sans"/>
          <w:b/>
          <w:color w:val="auto"/>
        </w:rPr>
        <w:t>background</w:t>
      </w:r>
    </w:p>
    <w:p w:rsidR="00E958C0" w:rsidRPr="005576E4" w:rsidRDefault="00E958C0" w:rsidP="00973D87">
      <w:pPr>
        <w:spacing w:before="120" w:after="0" w:line="240" w:lineRule="auto"/>
        <w:rPr>
          <w:rFonts w:ascii="Public Sans" w:hAnsi="Public Sans"/>
        </w:rPr>
      </w:pPr>
      <w:r w:rsidRPr="005576E4">
        <w:rPr>
          <w:rFonts w:ascii="Public Sans" w:hAnsi="Public Sans"/>
        </w:rPr>
        <w:t>In 2.</w:t>
      </w:r>
      <w:r w:rsidR="00B0100A">
        <w:rPr>
          <w:rFonts w:ascii="Public Sans" w:hAnsi="Public Sans"/>
        </w:rPr>
        <w:t>6</w:t>
      </w:r>
      <w:r w:rsidRPr="005576E4">
        <w:rPr>
          <w:rFonts w:ascii="Public Sans" w:hAnsi="Public Sans"/>
        </w:rPr>
        <w:t xml:space="preserve">% of reports to the ADC in </w:t>
      </w:r>
      <w:r w:rsidR="00033D8B">
        <w:rPr>
          <w:rFonts w:ascii="Public Sans" w:hAnsi="Public Sans"/>
        </w:rPr>
        <w:t>October</w:t>
      </w:r>
      <w:r w:rsidR="00672B16">
        <w:rPr>
          <w:rFonts w:ascii="Public Sans" w:hAnsi="Public Sans"/>
        </w:rPr>
        <w:t xml:space="preserve"> </w:t>
      </w:r>
      <w:r w:rsidR="00973D87" w:rsidRPr="005576E4">
        <w:rPr>
          <w:rFonts w:ascii="Public Sans" w:hAnsi="Public Sans"/>
        </w:rPr>
        <w:t xml:space="preserve">– </w:t>
      </w:r>
      <w:r w:rsidR="00033D8B">
        <w:rPr>
          <w:rFonts w:ascii="Public Sans" w:hAnsi="Public Sans"/>
        </w:rPr>
        <w:t>Dec</w:t>
      </w:r>
      <w:r w:rsidR="00FF7AD5">
        <w:rPr>
          <w:rFonts w:ascii="Public Sans" w:hAnsi="Public Sans"/>
        </w:rPr>
        <w:t>ember</w:t>
      </w:r>
      <w:r w:rsidR="00973D87" w:rsidRPr="005576E4">
        <w:rPr>
          <w:rFonts w:ascii="Public Sans" w:hAnsi="Public Sans"/>
        </w:rPr>
        <w:t xml:space="preserve"> 20</w:t>
      </w:r>
      <w:r w:rsidRPr="005576E4">
        <w:rPr>
          <w:rFonts w:ascii="Public Sans" w:hAnsi="Public Sans"/>
        </w:rPr>
        <w:t>2</w:t>
      </w:r>
      <w:r w:rsidR="00144CC1">
        <w:rPr>
          <w:rFonts w:ascii="Public Sans" w:hAnsi="Public Sans"/>
        </w:rPr>
        <w:t>2</w:t>
      </w:r>
      <w:r w:rsidRPr="005576E4">
        <w:rPr>
          <w:rFonts w:ascii="Public Sans" w:hAnsi="Public Sans"/>
        </w:rPr>
        <w:t xml:space="preserve">, the adult with disability or older person was identified as Aboriginal. </w:t>
      </w:r>
      <w:r w:rsidR="00973D87" w:rsidRPr="005576E4">
        <w:rPr>
          <w:rFonts w:ascii="Public Sans" w:hAnsi="Public Sans"/>
        </w:rPr>
        <w:t xml:space="preserve">This </w:t>
      </w:r>
      <w:r w:rsidR="00FF7AD5">
        <w:rPr>
          <w:rFonts w:ascii="Public Sans" w:hAnsi="Public Sans"/>
        </w:rPr>
        <w:t>wa</w:t>
      </w:r>
      <w:r w:rsidR="00973D87" w:rsidRPr="005576E4">
        <w:rPr>
          <w:rFonts w:ascii="Public Sans" w:hAnsi="Public Sans"/>
        </w:rPr>
        <w:t xml:space="preserve">s </w:t>
      </w:r>
      <w:r w:rsidR="00FF7AD5">
        <w:rPr>
          <w:rFonts w:ascii="Public Sans" w:hAnsi="Public Sans"/>
        </w:rPr>
        <w:t>slightly</w:t>
      </w:r>
      <w:r w:rsidR="00053CC5">
        <w:rPr>
          <w:rFonts w:ascii="Public Sans" w:hAnsi="Public Sans"/>
        </w:rPr>
        <w:t xml:space="preserve"> </w:t>
      </w:r>
      <w:r w:rsidR="00033D8B">
        <w:rPr>
          <w:rFonts w:ascii="Public Sans" w:hAnsi="Public Sans"/>
        </w:rPr>
        <w:t>higher</w:t>
      </w:r>
      <w:r w:rsidR="00FF7AD5">
        <w:rPr>
          <w:rFonts w:ascii="Public Sans" w:hAnsi="Public Sans"/>
        </w:rPr>
        <w:t xml:space="preserve"> </w:t>
      </w:r>
      <w:r w:rsidR="00053CC5">
        <w:rPr>
          <w:rFonts w:ascii="Public Sans" w:hAnsi="Public Sans"/>
        </w:rPr>
        <w:t xml:space="preserve">than the </w:t>
      </w:r>
      <w:r w:rsidR="0067487A">
        <w:rPr>
          <w:rFonts w:ascii="Public Sans" w:hAnsi="Public Sans"/>
        </w:rPr>
        <w:t>previous quarter (2.</w:t>
      </w:r>
      <w:r w:rsidR="00033D8B">
        <w:rPr>
          <w:rFonts w:ascii="Public Sans" w:hAnsi="Public Sans"/>
        </w:rPr>
        <w:t>1</w:t>
      </w:r>
      <w:r w:rsidR="0067487A">
        <w:rPr>
          <w:rFonts w:ascii="Public Sans" w:hAnsi="Public Sans"/>
        </w:rPr>
        <w:t>%)</w:t>
      </w:r>
      <w:r w:rsidR="00973D87" w:rsidRPr="005576E4">
        <w:rPr>
          <w:rFonts w:ascii="Public Sans" w:hAnsi="Public Sans"/>
        </w:rPr>
        <w:t xml:space="preserve">. </w:t>
      </w:r>
    </w:p>
    <w:p w:rsidR="00E958C0" w:rsidRPr="005576E4" w:rsidRDefault="00E958C0" w:rsidP="00E958C0">
      <w:pPr>
        <w:spacing w:after="0" w:line="240" w:lineRule="auto"/>
        <w:rPr>
          <w:rFonts w:ascii="Public Sans" w:hAnsi="Public Sans"/>
          <w:highlight w:val="yellow"/>
        </w:rPr>
      </w:pPr>
    </w:p>
    <w:p w:rsidR="00EC4EA0" w:rsidRPr="005576E4" w:rsidRDefault="00EC4EA0" w:rsidP="00EC4EA0">
      <w:pPr>
        <w:spacing w:after="0" w:line="240" w:lineRule="auto"/>
        <w:rPr>
          <w:rFonts w:ascii="Public Sans" w:hAnsi="Public Sans" w:cs="Segoe UI"/>
          <w:b/>
          <w:sz w:val="20"/>
        </w:rPr>
      </w:pPr>
      <w:r w:rsidRPr="005576E4">
        <w:rPr>
          <w:rFonts w:ascii="Public Sans" w:hAnsi="Public Sans" w:cs="Segoe UI"/>
          <w:b/>
          <w:sz w:val="20"/>
        </w:rPr>
        <w:t xml:space="preserve">Table 1: Aboriginal and Torres Strait Islander status of person the subject of a report to the ADC, by person status, </w:t>
      </w:r>
      <w:r w:rsidR="00033D8B">
        <w:rPr>
          <w:rFonts w:ascii="Public Sans" w:hAnsi="Public Sans" w:cs="Segoe UI"/>
          <w:b/>
          <w:sz w:val="20"/>
        </w:rPr>
        <w:t>Oct</w:t>
      </w:r>
      <w:r w:rsidRPr="005576E4">
        <w:rPr>
          <w:rFonts w:ascii="Public Sans" w:hAnsi="Public Sans" w:cs="Segoe UI"/>
          <w:b/>
          <w:sz w:val="20"/>
        </w:rPr>
        <w:t>-</w:t>
      </w:r>
      <w:r w:rsidR="00033D8B">
        <w:rPr>
          <w:rFonts w:ascii="Public Sans" w:hAnsi="Public Sans" w:cs="Segoe UI"/>
          <w:b/>
          <w:sz w:val="20"/>
        </w:rPr>
        <w:t>Dec</w:t>
      </w:r>
      <w:r w:rsidRPr="005576E4">
        <w:rPr>
          <w:rFonts w:ascii="Public Sans" w:hAnsi="Public Sans" w:cs="Segoe UI"/>
          <w:b/>
          <w:sz w:val="20"/>
        </w:rPr>
        <w:t xml:space="preserve"> 202</w:t>
      </w:r>
      <w:r w:rsidR="00144CC1">
        <w:rPr>
          <w:rFonts w:ascii="Public Sans" w:hAnsi="Public Sans" w:cs="Segoe UI"/>
          <w:b/>
          <w:sz w:val="20"/>
        </w:rPr>
        <w:t>2</w:t>
      </w:r>
    </w:p>
    <w:tbl>
      <w:tblPr>
        <w:tblStyle w:val="TableGrid"/>
        <w:tblW w:w="0" w:type="auto"/>
        <w:tblLook w:val="04A0" w:firstRow="1" w:lastRow="0" w:firstColumn="1" w:lastColumn="0" w:noHBand="0" w:noVBand="1"/>
      </w:tblPr>
      <w:tblGrid>
        <w:gridCol w:w="1838"/>
        <w:gridCol w:w="1276"/>
        <w:gridCol w:w="1276"/>
        <w:gridCol w:w="1275"/>
        <w:gridCol w:w="1276"/>
        <w:gridCol w:w="1276"/>
        <w:gridCol w:w="1185"/>
      </w:tblGrid>
      <w:tr w:rsidR="00E958C0" w:rsidRPr="005576E4" w:rsidTr="00E958C0">
        <w:tc>
          <w:tcPr>
            <w:tcW w:w="1838" w:type="dxa"/>
            <w:shd w:val="clear" w:color="auto" w:fill="A5CCDF"/>
          </w:tcPr>
          <w:p w:rsidR="00E958C0" w:rsidRPr="005576E4" w:rsidRDefault="00E958C0"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Public Sans" w:eastAsia="Helvetica" w:hAnsi="Public Sans" w:cs="Segoe UI"/>
                <w:sz w:val="21"/>
                <w:szCs w:val="21"/>
              </w:rPr>
            </w:pPr>
          </w:p>
        </w:tc>
        <w:tc>
          <w:tcPr>
            <w:tcW w:w="1276" w:type="dxa"/>
            <w:shd w:val="clear" w:color="auto" w:fill="A5CCDF"/>
          </w:tcPr>
          <w:p w:rsidR="00E958C0" w:rsidRPr="005576E4" w:rsidRDefault="00E958C0" w:rsidP="00033D8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b/>
                <w:sz w:val="21"/>
                <w:szCs w:val="21"/>
              </w:rPr>
            </w:pPr>
            <w:r w:rsidRPr="005576E4">
              <w:rPr>
                <w:rFonts w:ascii="Public Sans" w:eastAsia="Helvetica" w:hAnsi="Public Sans" w:cs="Segoe UI"/>
                <w:b/>
                <w:sz w:val="21"/>
                <w:szCs w:val="21"/>
              </w:rPr>
              <w:t>Older people (n=</w:t>
            </w:r>
            <w:r w:rsidR="00033D8B">
              <w:rPr>
                <w:rFonts w:ascii="Public Sans" w:eastAsia="Helvetica" w:hAnsi="Public Sans" w:cs="Segoe UI"/>
                <w:b/>
                <w:sz w:val="21"/>
                <w:szCs w:val="21"/>
              </w:rPr>
              <w:t>714</w:t>
            </w:r>
            <w:r w:rsidRPr="005576E4">
              <w:rPr>
                <w:rFonts w:ascii="Public Sans" w:eastAsia="Helvetica" w:hAnsi="Public Sans" w:cs="Segoe UI"/>
                <w:b/>
                <w:sz w:val="21"/>
                <w:szCs w:val="21"/>
              </w:rPr>
              <w:t>)</w:t>
            </w:r>
          </w:p>
        </w:tc>
        <w:tc>
          <w:tcPr>
            <w:tcW w:w="1276" w:type="dxa"/>
            <w:shd w:val="clear" w:color="auto" w:fill="A5CCDF"/>
          </w:tcPr>
          <w:p w:rsidR="00E958C0" w:rsidRPr="005576E4" w:rsidRDefault="00E958C0"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b/>
                <w:sz w:val="21"/>
                <w:szCs w:val="21"/>
              </w:rPr>
            </w:pPr>
            <w:r w:rsidRPr="005576E4">
              <w:rPr>
                <w:rFonts w:ascii="Public Sans" w:eastAsia="Helvetica" w:hAnsi="Public Sans" w:cs="Segoe UI"/>
                <w:b/>
                <w:sz w:val="21"/>
                <w:szCs w:val="21"/>
              </w:rPr>
              <w:t>% of reports about older people</w:t>
            </w:r>
          </w:p>
        </w:tc>
        <w:tc>
          <w:tcPr>
            <w:tcW w:w="1275" w:type="dxa"/>
            <w:shd w:val="clear" w:color="auto" w:fill="A5CCDF"/>
          </w:tcPr>
          <w:p w:rsidR="00E958C0" w:rsidRPr="005576E4" w:rsidRDefault="00E958C0" w:rsidP="00033D8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b/>
                <w:sz w:val="21"/>
                <w:szCs w:val="21"/>
              </w:rPr>
            </w:pPr>
            <w:r w:rsidRPr="005576E4">
              <w:rPr>
                <w:rFonts w:ascii="Public Sans" w:eastAsia="Helvetica" w:hAnsi="Public Sans" w:cs="Segoe UI"/>
                <w:b/>
                <w:sz w:val="21"/>
                <w:szCs w:val="21"/>
              </w:rPr>
              <w:t>Adults with disability (n=</w:t>
            </w:r>
            <w:r w:rsidR="00033D8B">
              <w:rPr>
                <w:rFonts w:ascii="Public Sans" w:eastAsia="Helvetica" w:hAnsi="Public Sans" w:cs="Segoe UI"/>
                <w:b/>
                <w:sz w:val="21"/>
                <w:szCs w:val="21"/>
              </w:rPr>
              <w:t>227</w:t>
            </w:r>
            <w:r w:rsidRPr="005576E4">
              <w:rPr>
                <w:rFonts w:ascii="Public Sans" w:eastAsia="Helvetica" w:hAnsi="Public Sans" w:cs="Segoe UI"/>
                <w:b/>
                <w:sz w:val="21"/>
                <w:szCs w:val="21"/>
              </w:rPr>
              <w:t>)</w:t>
            </w:r>
          </w:p>
        </w:tc>
        <w:tc>
          <w:tcPr>
            <w:tcW w:w="1276" w:type="dxa"/>
            <w:shd w:val="clear" w:color="auto" w:fill="A5CCDF"/>
          </w:tcPr>
          <w:p w:rsidR="00E958C0" w:rsidRPr="005576E4" w:rsidRDefault="00E958C0"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b/>
                <w:sz w:val="21"/>
                <w:szCs w:val="21"/>
              </w:rPr>
            </w:pPr>
            <w:r w:rsidRPr="005576E4">
              <w:rPr>
                <w:rFonts w:ascii="Public Sans" w:eastAsia="Helvetica" w:hAnsi="Public Sans" w:cs="Segoe UI"/>
                <w:b/>
                <w:sz w:val="21"/>
                <w:szCs w:val="21"/>
              </w:rPr>
              <w:t>% of reports about adults with disability</w:t>
            </w:r>
          </w:p>
        </w:tc>
        <w:tc>
          <w:tcPr>
            <w:tcW w:w="1276" w:type="dxa"/>
            <w:shd w:val="clear" w:color="auto" w:fill="A5CCDF"/>
          </w:tcPr>
          <w:p w:rsidR="00E958C0" w:rsidRPr="005576E4" w:rsidRDefault="00E958C0" w:rsidP="00033D8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b/>
                <w:sz w:val="21"/>
                <w:szCs w:val="21"/>
              </w:rPr>
            </w:pPr>
            <w:r w:rsidRPr="005576E4">
              <w:rPr>
                <w:rFonts w:ascii="Public Sans" w:eastAsia="Helvetica" w:hAnsi="Public Sans" w:cs="Segoe UI"/>
                <w:b/>
                <w:sz w:val="21"/>
                <w:szCs w:val="21"/>
              </w:rPr>
              <w:t>All reports (n=</w:t>
            </w:r>
            <w:r w:rsidR="00033D8B">
              <w:rPr>
                <w:rFonts w:ascii="Public Sans" w:eastAsia="Helvetica" w:hAnsi="Public Sans" w:cs="Segoe UI"/>
                <w:b/>
                <w:sz w:val="21"/>
                <w:szCs w:val="21"/>
              </w:rPr>
              <w:t>941</w:t>
            </w:r>
            <w:r w:rsidRPr="005576E4">
              <w:rPr>
                <w:rFonts w:ascii="Public Sans" w:eastAsia="Helvetica" w:hAnsi="Public Sans" w:cs="Segoe UI"/>
                <w:b/>
                <w:sz w:val="21"/>
                <w:szCs w:val="21"/>
              </w:rPr>
              <w:t>)</w:t>
            </w:r>
          </w:p>
        </w:tc>
        <w:tc>
          <w:tcPr>
            <w:tcW w:w="1185" w:type="dxa"/>
            <w:shd w:val="clear" w:color="auto" w:fill="A5CCDF"/>
          </w:tcPr>
          <w:p w:rsidR="00E958C0" w:rsidRPr="005576E4" w:rsidRDefault="00E958C0"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b/>
                <w:sz w:val="21"/>
                <w:szCs w:val="21"/>
              </w:rPr>
            </w:pPr>
            <w:r w:rsidRPr="005576E4">
              <w:rPr>
                <w:rFonts w:ascii="Public Sans" w:eastAsia="Helvetica" w:hAnsi="Public Sans" w:cs="Segoe UI"/>
                <w:b/>
                <w:sz w:val="21"/>
                <w:szCs w:val="21"/>
              </w:rPr>
              <w:t>% of all reports</w:t>
            </w:r>
          </w:p>
        </w:tc>
      </w:tr>
      <w:tr w:rsidR="00E958C0" w:rsidRPr="005576E4" w:rsidTr="00E958C0">
        <w:tc>
          <w:tcPr>
            <w:tcW w:w="1838" w:type="dxa"/>
          </w:tcPr>
          <w:p w:rsidR="00E958C0" w:rsidRPr="005576E4" w:rsidRDefault="00E958C0"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Public Sans" w:eastAsia="Helvetica" w:hAnsi="Public Sans" w:cs="Segoe UI"/>
                <w:sz w:val="21"/>
                <w:szCs w:val="21"/>
              </w:rPr>
            </w:pPr>
            <w:r w:rsidRPr="005576E4">
              <w:rPr>
                <w:rFonts w:ascii="Public Sans" w:eastAsia="Helvetica" w:hAnsi="Public Sans" w:cs="Segoe UI"/>
                <w:sz w:val="21"/>
                <w:szCs w:val="21"/>
              </w:rPr>
              <w:t>Person identified as Aboriginal and/or Torres Strait Islander</w:t>
            </w:r>
          </w:p>
        </w:tc>
        <w:tc>
          <w:tcPr>
            <w:tcW w:w="1276" w:type="dxa"/>
          </w:tcPr>
          <w:p w:rsidR="00E958C0" w:rsidRPr="005576E4" w:rsidRDefault="00033D8B" w:rsidP="0017219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sz w:val="21"/>
                <w:szCs w:val="21"/>
              </w:rPr>
            </w:pPr>
            <w:r>
              <w:rPr>
                <w:rFonts w:ascii="Public Sans" w:eastAsia="Helvetica" w:hAnsi="Public Sans" w:cs="Segoe UI"/>
                <w:sz w:val="21"/>
                <w:szCs w:val="21"/>
              </w:rPr>
              <w:t>18</w:t>
            </w:r>
          </w:p>
        </w:tc>
        <w:tc>
          <w:tcPr>
            <w:tcW w:w="1276" w:type="dxa"/>
          </w:tcPr>
          <w:p w:rsidR="00E958C0" w:rsidRPr="005576E4" w:rsidRDefault="00033D8B" w:rsidP="00144CC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sz w:val="21"/>
                <w:szCs w:val="21"/>
              </w:rPr>
            </w:pPr>
            <w:r>
              <w:rPr>
                <w:rFonts w:ascii="Public Sans" w:eastAsia="Helvetica" w:hAnsi="Public Sans" w:cs="Segoe UI"/>
                <w:sz w:val="21"/>
                <w:szCs w:val="21"/>
              </w:rPr>
              <w:t>2.5</w:t>
            </w:r>
          </w:p>
        </w:tc>
        <w:tc>
          <w:tcPr>
            <w:tcW w:w="1275" w:type="dxa"/>
          </w:tcPr>
          <w:p w:rsidR="00E958C0" w:rsidRPr="005576E4" w:rsidRDefault="00033D8B" w:rsidP="00E50C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sz w:val="21"/>
                <w:szCs w:val="21"/>
              </w:rPr>
            </w:pPr>
            <w:r>
              <w:rPr>
                <w:rFonts w:ascii="Public Sans" w:eastAsia="Helvetica" w:hAnsi="Public Sans" w:cs="Segoe UI"/>
                <w:sz w:val="21"/>
                <w:szCs w:val="21"/>
              </w:rPr>
              <w:t>6</w:t>
            </w:r>
          </w:p>
        </w:tc>
        <w:tc>
          <w:tcPr>
            <w:tcW w:w="1276" w:type="dxa"/>
          </w:tcPr>
          <w:p w:rsidR="00E958C0" w:rsidRPr="005576E4" w:rsidRDefault="0084215E" w:rsidP="00FF7AD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sz w:val="21"/>
                <w:szCs w:val="21"/>
              </w:rPr>
            </w:pPr>
            <w:r>
              <w:rPr>
                <w:rFonts w:ascii="Public Sans" w:eastAsia="Helvetica" w:hAnsi="Public Sans" w:cs="Segoe UI"/>
                <w:sz w:val="21"/>
                <w:szCs w:val="21"/>
              </w:rPr>
              <w:t>2.</w:t>
            </w:r>
            <w:r w:rsidR="00033D8B">
              <w:rPr>
                <w:rFonts w:ascii="Public Sans" w:eastAsia="Helvetica" w:hAnsi="Public Sans" w:cs="Segoe UI"/>
                <w:sz w:val="21"/>
                <w:szCs w:val="21"/>
              </w:rPr>
              <w:t>6</w:t>
            </w:r>
          </w:p>
        </w:tc>
        <w:tc>
          <w:tcPr>
            <w:tcW w:w="1276" w:type="dxa"/>
          </w:tcPr>
          <w:p w:rsidR="00E958C0" w:rsidRPr="005576E4" w:rsidRDefault="00033D8B"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b/>
                <w:sz w:val="21"/>
                <w:szCs w:val="21"/>
              </w:rPr>
            </w:pPr>
            <w:r>
              <w:rPr>
                <w:rFonts w:ascii="Public Sans" w:eastAsia="Helvetica" w:hAnsi="Public Sans" w:cs="Segoe UI"/>
                <w:b/>
                <w:sz w:val="21"/>
                <w:szCs w:val="21"/>
              </w:rPr>
              <w:t>24</w:t>
            </w:r>
          </w:p>
        </w:tc>
        <w:tc>
          <w:tcPr>
            <w:tcW w:w="1185" w:type="dxa"/>
          </w:tcPr>
          <w:p w:rsidR="00E958C0" w:rsidRPr="005576E4" w:rsidRDefault="00E958C0" w:rsidP="00FF7AD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b/>
                <w:sz w:val="21"/>
                <w:szCs w:val="21"/>
              </w:rPr>
            </w:pPr>
            <w:r w:rsidRPr="005576E4">
              <w:rPr>
                <w:rFonts w:ascii="Public Sans" w:eastAsia="Helvetica" w:hAnsi="Public Sans" w:cs="Segoe UI"/>
                <w:b/>
                <w:sz w:val="21"/>
                <w:szCs w:val="21"/>
              </w:rPr>
              <w:t>2.</w:t>
            </w:r>
            <w:r w:rsidR="00033D8B">
              <w:rPr>
                <w:rFonts w:ascii="Public Sans" w:eastAsia="Helvetica" w:hAnsi="Public Sans" w:cs="Segoe UI"/>
                <w:b/>
                <w:sz w:val="21"/>
                <w:szCs w:val="21"/>
              </w:rPr>
              <w:t>6</w:t>
            </w:r>
          </w:p>
        </w:tc>
      </w:tr>
    </w:tbl>
    <w:p w:rsidR="00613AF2" w:rsidRDefault="00613AF2" w:rsidP="00613AF2">
      <w:pPr>
        <w:spacing w:after="0" w:line="240" w:lineRule="auto"/>
        <w:rPr>
          <w:rFonts w:ascii="Public Sans" w:hAnsi="Public Sans" w:cs="Segoe UI"/>
          <w:b/>
        </w:rPr>
      </w:pPr>
    </w:p>
    <w:p w:rsidR="009905B5" w:rsidRDefault="009905B5" w:rsidP="00613AF2">
      <w:pPr>
        <w:spacing w:after="0" w:line="240" w:lineRule="auto"/>
        <w:rPr>
          <w:rFonts w:ascii="Public Sans" w:hAnsi="Public Sans" w:cs="Segoe UI"/>
          <w:b/>
        </w:rPr>
      </w:pPr>
    </w:p>
    <w:p w:rsidR="001609A4" w:rsidRPr="005576E4" w:rsidRDefault="001609A4" w:rsidP="00613AF2">
      <w:pPr>
        <w:spacing w:after="0" w:line="240" w:lineRule="auto"/>
        <w:rPr>
          <w:rFonts w:ascii="Public Sans" w:hAnsi="Public Sans" w:cs="Segoe UI"/>
          <w:b/>
        </w:rPr>
      </w:pPr>
    </w:p>
    <w:p w:rsidR="00EC4EA0" w:rsidRPr="00801D7B" w:rsidRDefault="00EC4EA0" w:rsidP="00EC4EA0">
      <w:pPr>
        <w:pStyle w:val="Heading2"/>
        <w:spacing w:before="0"/>
        <w:rPr>
          <w:rFonts w:ascii="Public Sans" w:eastAsia="Helvetica" w:hAnsi="Public Sans"/>
          <w:b/>
          <w:color w:val="auto"/>
        </w:rPr>
      </w:pPr>
      <w:r w:rsidRPr="00801D7B">
        <w:rPr>
          <w:rFonts w:ascii="Public Sans" w:eastAsia="Helvetica" w:hAnsi="Public Sans"/>
          <w:b/>
          <w:color w:val="auto"/>
        </w:rPr>
        <w:t xml:space="preserve">2.3 </w:t>
      </w:r>
      <w:r w:rsidR="00631A3A" w:rsidRPr="00801D7B">
        <w:rPr>
          <w:rFonts w:ascii="Public Sans" w:eastAsia="Helvetica" w:hAnsi="Public Sans"/>
          <w:b/>
          <w:color w:val="auto"/>
        </w:rPr>
        <w:tab/>
      </w:r>
      <w:r w:rsidRPr="00801D7B">
        <w:rPr>
          <w:rFonts w:ascii="Public Sans" w:eastAsia="Helvetica" w:hAnsi="Public Sans"/>
          <w:b/>
          <w:color w:val="auto"/>
        </w:rPr>
        <w:t xml:space="preserve">Culturally and linguistically diverse background </w:t>
      </w:r>
    </w:p>
    <w:p w:rsidR="00E958C0" w:rsidRPr="005576E4" w:rsidRDefault="00E958C0" w:rsidP="00973D87">
      <w:pPr>
        <w:spacing w:before="120" w:after="0" w:line="240" w:lineRule="auto"/>
        <w:rPr>
          <w:rFonts w:ascii="Public Sans" w:hAnsi="Public Sans"/>
        </w:rPr>
      </w:pPr>
      <w:r w:rsidRPr="005576E4">
        <w:rPr>
          <w:rFonts w:ascii="Public Sans" w:hAnsi="Public Sans"/>
        </w:rPr>
        <w:t xml:space="preserve">In </w:t>
      </w:r>
      <w:r w:rsidR="00007D2B">
        <w:rPr>
          <w:rFonts w:ascii="Public Sans" w:hAnsi="Public Sans"/>
        </w:rPr>
        <w:t>5.</w:t>
      </w:r>
      <w:r w:rsidR="00B124FE">
        <w:rPr>
          <w:rFonts w:ascii="Public Sans" w:hAnsi="Public Sans"/>
        </w:rPr>
        <w:t>6</w:t>
      </w:r>
      <w:r w:rsidRPr="005576E4">
        <w:rPr>
          <w:rFonts w:ascii="Public Sans" w:hAnsi="Public Sans"/>
        </w:rPr>
        <w:t xml:space="preserve">% of reports to the ADC in </w:t>
      </w:r>
      <w:r w:rsidR="00007D2B">
        <w:rPr>
          <w:rFonts w:ascii="Public Sans" w:hAnsi="Public Sans"/>
        </w:rPr>
        <w:t xml:space="preserve">October </w:t>
      </w:r>
      <w:r w:rsidR="00973D87" w:rsidRPr="005576E4">
        <w:rPr>
          <w:rFonts w:ascii="Public Sans" w:hAnsi="Public Sans"/>
        </w:rPr>
        <w:t>–</w:t>
      </w:r>
      <w:r w:rsidR="00007D2B">
        <w:rPr>
          <w:rFonts w:ascii="Public Sans" w:hAnsi="Public Sans"/>
        </w:rPr>
        <w:t>Dec</w:t>
      </w:r>
      <w:r w:rsidR="00B124FE">
        <w:rPr>
          <w:rFonts w:ascii="Public Sans" w:hAnsi="Public Sans"/>
        </w:rPr>
        <w:t>ember</w:t>
      </w:r>
      <w:r w:rsidR="00973D87" w:rsidRPr="005576E4">
        <w:rPr>
          <w:rFonts w:ascii="Public Sans" w:hAnsi="Public Sans"/>
        </w:rPr>
        <w:t xml:space="preserve"> 20</w:t>
      </w:r>
      <w:r w:rsidRPr="005576E4">
        <w:rPr>
          <w:rFonts w:ascii="Public Sans" w:hAnsi="Public Sans"/>
        </w:rPr>
        <w:t>2</w:t>
      </w:r>
      <w:r w:rsidR="00476881">
        <w:rPr>
          <w:rFonts w:ascii="Public Sans" w:hAnsi="Public Sans"/>
        </w:rPr>
        <w:t>2</w:t>
      </w:r>
      <w:r w:rsidRPr="005576E4">
        <w:rPr>
          <w:rFonts w:ascii="Public Sans" w:hAnsi="Public Sans"/>
        </w:rPr>
        <w:t xml:space="preserve">, the adult with disability or older person was identified as having a culturally and linguistically diverse (CALD) background. This </w:t>
      </w:r>
      <w:r w:rsidR="00973D87" w:rsidRPr="005576E4">
        <w:rPr>
          <w:rFonts w:ascii="Public Sans" w:hAnsi="Public Sans"/>
        </w:rPr>
        <w:t xml:space="preserve">is lower than the </w:t>
      </w:r>
      <w:r w:rsidRPr="005576E4">
        <w:rPr>
          <w:rFonts w:ascii="Public Sans" w:hAnsi="Public Sans"/>
        </w:rPr>
        <w:t>pr</w:t>
      </w:r>
      <w:r w:rsidR="00B124FE">
        <w:rPr>
          <w:rFonts w:ascii="Public Sans" w:hAnsi="Public Sans"/>
        </w:rPr>
        <w:t>evious quarter (</w:t>
      </w:r>
      <w:r w:rsidR="00007D2B">
        <w:rPr>
          <w:rFonts w:ascii="Public Sans" w:hAnsi="Public Sans"/>
        </w:rPr>
        <w:t>6</w:t>
      </w:r>
      <w:r w:rsidR="00B124FE">
        <w:rPr>
          <w:rFonts w:ascii="Public Sans" w:hAnsi="Public Sans"/>
        </w:rPr>
        <w:t>%)</w:t>
      </w:r>
      <w:r w:rsidRPr="005576E4">
        <w:rPr>
          <w:rFonts w:ascii="Public Sans" w:hAnsi="Public Sans"/>
        </w:rPr>
        <w:t>.</w:t>
      </w:r>
    </w:p>
    <w:p w:rsidR="00214713" w:rsidRDefault="00214713" w:rsidP="00CD4548">
      <w:pPr>
        <w:spacing w:after="0" w:line="240" w:lineRule="auto"/>
        <w:rPr>
          <w:rFonts w:ascii="Public Sans" w:hAnsi="Public Sans"/>
        </w:rPr>
      </w:pPr>
    </w:p>
    <w:p w:rsidR="00613AF2" w:rsidRPr="005576E4" w:rsidRDefault="00613AF2" w:rsidP="00CD4548">
      <w:pPr>
        <w:spacing w:after="0" w:line="240" w:lineRule="auto"/>
        <w:rPr>
          <w:rFonts w:ascii="Public Sans" w:hAnsi="Public Sans"/>
        </w:rPr>
      </w:pPr>
    </w:p>
    <w:p w:rsidR="00E958C0" w:rsidRPr="00F75B36" w:rsidRDefault="00E958C0" w:rsidP="00E958C0">
      <w:pPr>
        <w:spacing w:after="0" w:line="240" w:lineRule="auto"/>
        <w:rPr>
          <w:rFonts w:ascii="Public Sans" w:hAnsi="Public Sans" w:cs="Segoe UI"/>
          <w:b/>
          <w:sz w:val="18"/>
        </w:rPr>
      </w:pPr>
      <w:r w:rsidRPr="00F75B36">
        <w:rPr>
          <w:rFonts w:ascii="Public Sans" w:hAnsi="Public Sans" w:cs="Segoe UI"/>
          <w:b/>
          <w:sz w:val="18"/>
        </w:rPr>
        <w:t xml:space="preserve">Table 2: CALD status of person the subject of a report to the ADC, </w:t>
      </w:r>
      <w:r w:rsidR="00A73F02" w:rsidRPr="00F75B36">
        <w:rPr>
          <w:rFonts w:ascii="Public Sans" w:hAnsi="Public Sans" w:cs="Segoe UI"/>
          <w:b/>
          <w:sz w:val="18"/>
        </w:rPr>
        <w:t>by person status,</w:t>
      </w:r>
      <w:r w:rsidR="00990C36">
        <w:rPr>
          <w:rFonts w:ascii="Public Sans" w:hAnsi="Public Sans" w:cs="Segoe UI"/>
          <w:b/>
          <w:sz w:val="18"/>
        </w:rPr>
        <w:t xml:space="preserve"> </w:t>
      </w:r>
      <w:r w:rsidR="00007D2B">
        <w:rPr>
          <w:rFonts w:ascii="Public Sans" w:hAnsi="Public Sans" w:cs="Segoe UI"/>
          <w:b/>
          <w:sz w:val="18"/>
        </w:rPr>
        <w:t>Oct</w:t>
      </w:r>
      <w:r w:rsidR="00990C36">
        <w:rPr>
          <w:rFonts w:ascii="Public Sans" w:hAnsi="Public Sans" w:cs="Segoe UI"/>
          <w:b/>
          <w:sz w:val="18"/>
        </w:rPr>
        <w:t>-</w:t>
      </w:r>
      <w:r w:rsidR="00007D2B">
        <w:rPr>
          <w:rFonts w:ascii="Public Sans" w:hAnsi="Public Sans" w:cs="Segoe UI"/>
          <w:b/>
          <w:sz w:val="18"/>
        </w:rPr>
        <w:t>Dec</w:t>
      </w:r>
      <w:r w:rsidR="00A73F02" w:rsidRPr="00F75B36">
        <w:rPr>
          <w:rFonts w:ascii="Public Sans" w:hAnsi="Public Sans" w:cs="Segoe UI"/>
          <w:b/>
          <w:sz w:val="18"/>
        </w:rPr>
        <w:t xml:space="preserve"> 20</w:t>
      </w:r>
      <w:r w:rsidRPr="00F75B36">
        <w:rPr>
          <w:rFonts w:ascii="Public Sans" w:eastAsia="Helvetica" w:hAnsi="Public Sans" w:cs="Calibri"/>
          <w:b/>
          <w:sz w:val="18"/>
        </w:rPr>
        <w:t>2</w:t>
      </w:r>
      <w:r w:rsidR="00476881">
        <w:rPr>
          <w:rFonts w:ascii="Public Sans" w:eastAsia="Helvetica" w:hAnsi="Public Sans" w:cs="Calibri"/>
          <w:b/>
          <w:sz w:val="18"/>
        </w:rPr>
        <w:t>2</w:t>
      </w:r>
    </w:p>
    <w:tbl>
      <w:tblPr>
        <w:tblStyle w:val="TableGrid"/>
        <w:tblW w:w="5000" w:type="pct"/>
        <w:tblLook w:val="04A0" w:firstRow="1" w:lastRow="0" w:firstColumn="1" w:lastColumn="0" w:noHBand="0" w:noVBand="1"/>
      </w:tblPr>
      <w:tblGrid>
        <w:gridCol w:w="1724"/>
        <w:gridCol w:w="1485"/>
        <w:gridCol w:w="1313"/>
        <w:gridCol w:w="1313"/>
        <w:gridCol w:w="1313"/>
        <w:gridCol w:w="1313"/>
        <w:gridCol w:w="1167"/>
      </w:tblGrid>
      <w:tr w:rsidR="00E958C0" w:rsidRPr="005576E4" w:rsidTr="009431E0">
        <w:tc>
          <w:tcPr>
            <w:tcW w:w="895" w:type="pct"/>
            <w:shd w:val="clear" w:color="auto" w:fill="A5CCDF"/>
          </w:tcPr>
          <w:p w:rsidR="00E958C0" w:rsidRPr="005576E4" w:rsidRDefault="00E958C0"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Public Sans" w:eastAsia="Helvetica" w:hAnsi="Public Sans" w:cs="Segoe UI"/>
                <w:sz w:val="21"/>
                <w:szCs w:val="21"/>
              </w:rPr>
            </w:pPr>
          </w:p>
          <w:p w:rsidR="00E958C0" w:rsidRPr="005576E4" w:rsidRDefault="00E958C0"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Public Sans" w:eastAsia="Helvetica" w:hAnsi="Public Sans" w:cs="Segoe UI"/>
                <w:sz w:val="21"/>
                <w:szCs w:val="21"/>
              </w:rPr>
            </w:pPr>
          </w:p>
        </w:tc>
        <w:tc>
          <w:tcPr>
            <w:tcW w:w="771" w:type="pct"/>
            <w:shd w:val="clear" w:color="auto" w:fill="A5CCDF"/>
          </w:tcPr>
          <w:p w:rsidR="00E958C0" w:rsidRPr="005576E4" w:rsidRDefault="00E958C0" w:rsidP="00053CC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b/>
                <w:sz w:val="21"/>
                <w:szCs w:val="21"/>
              </w:rPr>
            </w:pPr>
            <w:r w:rsidRPr="005576E4">
              <w:rPr>
                <w:rFonts w:ascii="Public Sans" w:eastAsia="Helvetica" w:hAnsi="Public Sans" w:cs="Segoe UI"/>
                <w:b/>
                <w:sz w:val="21"/>
                <w:szCs w:val="21"/>
              </w:rPr>
              <w:t>Older people (n=</w:t>
            </w:r>
            <w:r w:rsidR="00DF08DD">
              <w:rPr>
                <w:rFonts w:ascii="Public Sans" w:eastAsia="Helvetica" w:hAnsi="Public Sans" w:cs="Segoe UI"/>
                <w:b/>
                <w:sz w:val="21"/>
                <w:szCs w:val="21"/>
              </w:rPr>
              <w:t>714</w:t>
            </w:r>
            <w:r w:rsidRPr="005576E4">
              <w:rPr>
                <w:rFonts w:ascii="Public Sans" w:eastAsia="Helvetica" w:hAnsi="Public Sans" w:cs="Segoe UI"/>
                <w:b/>
                <w:sz w:val="21"/>
                <w:szCs w:val="21"/>
              </w:rPr>
              <w:t>)</w:t>
            </w:r>
          </w:p>
        </w:tc>
        <w:tc>
          <w:tcPr>
            <w:tcW w:w="682" w:type="pct"/>
            <w:shd w:val="clear" w:color="auto" w:fill="A5CCDF"/>
          </w:tcPr>
          <w:p w:rsidR="00E958C0" w:rsidRPr="005576E4" w:rsidRDefault="00E958C0"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b/>
                <w:sz w:val="21"/>
                <w:szCs w:val="21"/>
              </w:rPr>
            </w:pPr>
            <w:r w:rsidRPr="005576E4">
              <w:rPr>
                <w:rFonts w:ascii="Public Sans" w:eastAsia="Helvetica" w:hAnsi="Public Sans" w:cs="Segoe UI"/>
                <w:b/>
                <w:sz w:val="21"/>
                <w:szCs w:val="21"/>
              </w:rPr>
              <w:t>% of reports about older people</w:t>
            </w:r>
          </w:p>
        </w:tc>
        <w:tc>
          <w:tcPr>
            <w:tcW w:w="682" w:type="pct"/>
            <w:shd w:val="clear" w:color="auto" w:fill="A5CCDF"/>
          </w:tcPr>
          <w:p w:rsidR="00E958C0" w:rsidRPr="005576E4" w:rsidRDefault="00E958C0" w:rsidP="00053CC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b/>
                <w:sz w:val="21"/>
                <w:szCs w:val="21"/>
              </w:rPr>
            </w:pPr>
            <w:r w:rsidRPr="005576E4">
              <w:rPr>
                <w:rFonts w:ascii="Public Sans" w:eastAsia="Helvetica" w:hAnsi="Public Sans" w:cs="Segoe UI"/>
                <w:b/>
                <w:sz w:val="21"/>
                <w:szCs w:val="21"/>
              </w:rPr>
              <w:t>Adults with disability (n=</w:t>
            </w:r>
            <w:r w:rsidR="00AF414E" w:rsidRPr="005576E4">
              <w:rPr>
                <w:rFonts w:ascii="Public Sans" w:eastAsia="Helvetica" w:hAnsi="Public Sans" w:cs="Segoe UI"/>
                <w:b/>
                <w:sz w:val="21"/>
                <w:szCs w:val="21"/>
              </w:rPr>
              <w:t>2</w:t>
            </w:r>
            <w:r w:rsidR="00DF08DD">
              <w:rPr>
                <w:rFonts w:ascii="Public Sans" w:eastAsia="Helvetica" w:hAnsi="Public Sans" w:cs="Segoe UI"/>
                <w:b/>
                <w:sz w:val="21"/>
                <w:szCs w:val="21"/>
              </w:rPr>
              <w:t>27</w:t>
            </w:r>
            <w:r w:rsidRPr="005576E4">
              <w:rPr>
                <w:rFonts w:ascii="Public Sans" w:eastAsia="Helvetica" w:hAnsi="Public Sans" w:cs="Segoe UI"/>
                <w:b/>
                <w:sz w:val="21"/>
                <w:szCs w:val="21"/>
              </w:rPr>
              <w:t>)</w:t>
            </w:r>
          </w:p>
        </w:tc>
        <w:tc>
          <w:tcPr>
            <w:tcW w:w="682" w:type="pct"/>
            <w:shd w:val="clear" w:color="auto" w:fill="A5CCDF"/>
          </w:tcPr>
          <w:p w:rsidR="00E958C0" w:rsidRPr="005576E4" w:rsidRDefault="00E958C0"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b/>
                <w:sz w:val="21"/>
                <w:szCs w:val="21"/>
              </w:rPr>
            </w:pPr>
            <w:r w:rsidRPr="005576E4">
              <w:rPr>
                <w:rFonts w:ascii="Public Sans" w:eastAsia="Helvetica" w:hAnsi="Public Sans" w:cs="Segoe UI"/>
                <w:b/>
                <w:sz w:val="21"/>
                <w:szCs w:val="21"/>
              </w:rPr>
              <w:t>% of reports about adults with disability</w:t>
            </w:r>
          </w:p>
        </w:tc>
        <w:tc>
          <w:tcPr>
            <w:tcW w:w="682" w:type="pct"/>
            <w:shd w:val="clear" w:color="auto" w:fill="A5CCDF"/>
          </w:tcPr>
          <w:p w:rsidR="00E958C0" w:rsidRPr="005576E4" w:rsidRDefault="00E958C0" w:rsidP="00053CC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b/>
                <w:sz w:val="21"/>
                <w:szCs w:val="21"/>
              </w:rPr>
            </w:pPr>
            <w:r w:rsidRPr="005576E4">
              <w:rPr>
                <w:rFonts w:ascii="Public Sans" w:eastAsia="Helvetica" w:hAnsi="Public Sans" w:cs="Segoe UI"/>
                <w:b/>
                <w:sz w:val="21"/>
                <w:szCs w:val="21"/>
              </w:rPr>
              <w:t>All reports (n=</w:t>
            </w:r>
            <w:r w:rsidR="00DF08DD">
              <w:rPr>
                <w:rFonts w:ascii="Public Sans" w:eastAsia="Helvetica" w:hAnsi="Public Sans" w:cs="Segoe UI"/>
                <w:b/>
                <w:sz w:val="21"/>
                <w:szCs w:val="21"/>
              </w:rPr>
              <w:t>941</w:t>
            </w:r>
            <w:r w:rsidRPr="005576E4">
              <w:rPr>
                <w:rFonts w:ascii="Public Sans" w:eastAsia="Helvetica" w:hAnsi="Public Sans" w:cs="Segoe UI"/>
                <w:b/>
                <w:sz w:val="21"/>
                <w:szCs w:val="21"/>
              </w:rPr>
              <w:t>)</w:t>
            </w:r>
          </w:p>
        </w:tc>
        <w:tc>
          <w:tcPr>
            <w:tcW w:w="606" w:type="pct"/>
            <w:shd w:val="clear" w:color="auto" w:fill="A5CCDF"/>
          </w:tcPr>
          <w:p w:rsidR="00E958C0" w:rsidRPr="005576E4" w:rsidRDefault="00E958C0"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b/>
                <w:sz w:val="21"/>
                <w:szCs w:val="21"/>
              </w:rPr>
            </w:pPr>
            <w:r w:rsidRPr="005576E4">
              <w:rPr>
                <w:rFonts w:ascii="Public Sans" w:eastAsia="Helvetica" w:hAnsi="Public Sans" w:cs="Segoe UI"/>
                <w:b/>
                <w:sz w:val="21"/>
                <w:szCs w:val="21"/>
              </w:rPr>
              <w:t>% of all reports</w:t>
            </w:r>
          </w:p>
        </w:tc>
      </w:tr>
      <w:tr w:rsidR="00E958C0" w:rsidRPr="005576E4" w:rsidTr="009431E0">
        <w:tc>
          <w:tcPr>
            <w:tcW w:w="895" w:type="pct"/>
          </w:tcPr>
          <w:p w:rsidR="00E958C0" w:rsidRPr="005576E4" w:rsidRDefault="00E958C0"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Public Sans" w:eastAsia="Helvetica" w:hAnsi="Public Sans" w:cs="Segoe UI"/>
                <w:sz w:val="21"/>
                <w:szCs w:val="21"/>
              </w:rPr>
            </w:pPr>
            <w:r w:rsidRPr="005576E4">
              <w:rPr>
                <w:rFonts w:ascii="Public Sans" w:eastAsia="Helvetica" w:hAnsi="Public Sans" w:cs="Segoe UI"/>
                <w:sz w:val="21"/>
                <w:szCs w:val="21"/>
              </w:rPr>
              <w:t>Person identified as having a CALD background</w:t>
            </w:r>
          </w:p>
        </w:tc>
        <w:tc>
          <w:tcPr>
            <w:tcW w:w="771" w:type="pct"/>
          </w:tcPr>
          <w:p w:rsidR="00E958C0" w:rsidRPr="005576E4" w:rsidRDefault="00DF08DD" w:rsidP="0047688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sz w:val="21"/>
                <w:szCs w:val="21"/>
              </w:rPr>
            </w:pPr>
            <w:r>
              <w:rPr>
                <w:rFonts w:ascii="Public Sans" w:eastAsia="Helvetica" w:hAnsi="Public Sans" w:cs="Segoe UI"/>
                <w:sz w:val="21"/>
                <w:szCs w:val="21"/>
              </w:rPr>
              <w:t>47</w:t>
            </w:r>
          </w:p>
        </w:tc>
        <w:tc>
          <w:tcPr>
            <w:tcW w:w="682" w:type="pct"/>
          </w:tcPr>
          <w:p w:rsidR="00E958C0" w:rsidRPr="005576E4" w:rsidRDefault="00DF08DD" w:rsidP="00053CC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sz w:val="21"/>
                <w:szCs w:val="21"/>
              </w:rPr>
            </w:pPr>
            <w:r>
              <w:rPr>
                <w:rFonts w:ascii="Public Sans" w:eastAsia="Helvetica" w:hAnsi="Public Sans" w:cs="Segoe UI"/>
                <w:sz w:val="21"/>
                <w:szCs w:val="21"/>
              </w:rPr>
              <w:t>6.6</w:t>
            </w:r>
          </w:p>
        </w:tc>
        <w:tc>
          <w:tcPr>
            <w:tcW w:w="682" w:type="pct"/>
          </w:tcPr>
          <w:p w:rsidR="00E958C0" w:rsidRPr="005576E4" w:rsidRDefault="00DF08DD"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sz w:val="21"/>
                <w:szCs w:val="21"/>
              </w:rPr>
            </w:pPr>
            <w:r>
              <w:rPr>
                <w:rFonts w:ascii="Public Sans" w:eastAsia="Helvetica" w:hAnsi="Public Sans" w:cs="Segoe UI"/>
                <w:sz w:val="21"/>
                <w:szCs w:val="21"/>
              </w:rPr>
              <w:t>6</w:t>
            </w:r>
          </w:p>
        </w:tc>
        <w:tc>
          <w:tcPr>
            <w:tcW w:w="682" w:type="pct"/>
          </w:tcPr>
          <w:p w:rsidR="00E958C0" w:rsidRPr="005576E4" w:rsidRDefault="00DF08DD" w:rsidP="00053CC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sz w:val="21"/>
                <w:szCs w:val="21"/>
              </w:rPr>
            </w:pPr>
            <w:r>
              <w:rPr>
                <w:rFonts w:ascii="Public Sans" w:eastAsia="Helvetica" w:hAnsi="Public Sans" w:cs="Segoe UI"/>
                <w:sz w:val="21"/>
                <w:szCs w:val="21"/>
              </w:rPr>
              <w:t>2.6</w:t>
            </w:r>
          </w:p>
        </w:tc>
        <w:tc>
          <w:tcPr>
            <w:tcW w:w="682" w:type="pct"/>
          </w:tcPr>
          <w:p w:rsidR="00E958C0" w:rsidRPr="005576E4" w:rsidRDefault="00476881"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b/>
                <w:sz w:val="21"/>
                <w:szCs w:val="21"/>
              </w:rPr>
            </w:pPr>
            <w:r>
              <w:rPr>
                <w:rFonts w:ascii="Public Sans" w:eastAsia="Helvetica" w:hAnsi="Public Sans" w:cs="Segoe UI"/>
                <w:b/>
                <w:sz w:val="21"/>
                <w:szCs w:val="21"/>
              </w:rPr>
              <w:t>6</w:t>
            </w:r>
            <w:r w:rsidR="00B124FE">
              <w:rPr>
                <w:rFonts w:ascii="Public Sans" w:eastAsia="Helvetica" w:hAnsi="Public Sans" w:cs="Segoe UI"/>
                <w:b/>
                <w:sz w:val="21"/>
                <w:szCs w:val="21"/>
              </w:rPr>
              <w:t>1</w:t>
            </w:r>
          </w:p>
        </w:tc>
        <w:tc>
          <w:tcPr>
            <w:tcW w:w="606" w:type="pct"/>
          </w:tcPr>
          <w:p w:rsidR="00E958C0" w:rsidRPr="005576E4" w:rsidRDefault="00DF08DD" w:rsidP="00053CC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b/>
                <w:sz w:val="21"/>
                <w:szCs w:val="21"/>
              </w:rPr>
            </w:pPr>
            <w:r>
              <w:rPr>
                <w:rFonts w:ascii="Public Sans" w:eastAsia="Helvetica" w:hAnsi="Public Sans" w:cs="Segoe UI"/>
                <w:b/>
                <w:sz w:val="21"/>
                <w:szCs w:val="21"/>
              </w:rPr>
              <w:t>5.6</w:t>
            </w:r>
          </w:p>
        </w:tc>
      </w:tr>
    </w:tbl>
    <w:p w:rsidR="00E958C0" w:rsidRPr="005576E4" w:rsidRDefault="00E958C0" w:rsidP="00E958C0">
      <w:pPr>
        <w:pStyle w:val="Body"/>
        <w:widowControl w:val="0"/>
        <w:spacing w:after="0" w:line="240" w:lineRule="auto"/>
        <w:rPr>
          <w:rFonts w:ascii="Public Sans" w:eastAsia="Helvetica" w:hAnsi="Public Sans" w:cs="Segoe UI"/>
        </w:rPr>
      </w:pPr>
    </w:p>
    <w:p w:rsidR="00E958C0" w:rsidRPr="005576E4" w:rsidRDefault="00E958C0" w:rsidP="00E958C0">
      <w:pPr>
        <w:pStyle w:val="Body"/>
        <w:widowControl w:val="0"/>
        <w:spacing w:after="0" w:line="240" w:lineRule="auto"/>
        <w:rPr>
          <w:rFonts w:ascii="Public Sans" w:eastAsia="Helvetica" w:hAnsi="Public Sans" w:cs="Segoe UI"/>
        </w:rPr>
      </w:pPr>
    </w:p>
    <w:p w:rsidR="00E958C0" w:rsidRPr="00F75B36" w:rsidRDefault="00E958C0" w:rsidP="00E958C0">
      <w:pPr>
        <w:pStyle w:val="Body"/>
        <w:widowControl w:val="0"/>
        <w:spacing w:after="0" w:line="240" w:lineRule="auto"/>
        <w:rPr>
          <w:rFonts w:ascii="Public Sans" w:eastAsia="Helvetica" w:hAnsi="Public Sans" w:cs="Segoe UI"/>
          <w:b/>
          <w:sz w:val="18"/>
        </w:rPr>
      </w:pPr>
      <w:r w:rsidRPr="00F75B36">
        <w:rPr>
          <w:rFonts w:ascii="Public Sans" w:eastAsia="Helvetica" w:hAnsi="Public Sans" w:cs="Segoe UI"/>
          <w:b/>
          <w:sz w:val="18"/>
        </w:rPr>
        <w:t xml:space="preserve">Table 3: </w:t>
      </w:r>
      <w:r w:rsidR="002B6964" w:rsidRPr="00F75B36">
        <w:rPr>
          <w:rFonts w:ascii="Public Sans" w:eastAsia="Helvetica" w:hAnsi="Public Sans" w:cs="Segoe UI"/>
          <w:b/>
          <w:sz w:val="18"/>
        </w:rPr>
        <w:t>Main</w:t>
      </w:r>
      <w:r w:rsidRPr="00F75B36">
        <w:rPr>
          <w:rFonts w:ascii="Public Sans" w:eastAsia="Helvetica" w:hAnsi="Public Sans" w:cs="Segoe UI"/>
          <w:b/>
          <w:sz w:val="18"/>
        </w:rPr>
        <w:t xml:space="preserve"> CALD backgrounds of people the subject of a report to the ADC, </w:t>
      </w:r>
      <w:r w:rsidR="00CD4548" w:rsidRPr="00F75B36">
        <w:rPr>
          <w:rFonts w:ascii="Public Sans" w:eastAsia="Helvetica" w:hAnsi="Public Sans" w:cs="Segoe UI"/>
          <w:b/>
          <w:sz w:val="18"/>
        </w:rPr>
        <w:t xml:space="preserve">by person status, </w:t>
      </w:r>
      <w:r w:rsidR="0073669A">
        <w:rPr>
          <w:rFonts w:ascii="Public Sans" w:eastAsia="Helvetica" w:hAnsi="Public Sans" w:cs="Segoe UI"/>
          <w:b/>
          <w:sz w:val="18"/>
        </w:rPr>
        <w:t>Oct</w:t>
      </w:r>
      <w:r w:rsidR="00CD4548" w:rsidRPr="00F75B36">
        <w:rPr>
          <w:rFonts w:ascii="Public Sans" w:eastAsia="Helvetica" w:hAnsi="Public Sans" w:cs="Segoe UI"/>
          <w:b/>
          <w:sz w:val="18"/>
        </w:rPr>
        <w:t>-</w:t>
      </w:r>
      <w:r w:rsidR="0073669A">
        <w:rPr>
          <w:rFonts w:ascii="Public Sans" w:eastAsia="Helvetica" w:hAnsi="Public Sans" w:cs="Segoe UI"/>
          <w:b/>
          <w:sz w:val="18"/>
        </w:rPr>
        <w:t>Dec</w:t>
      </w:r>
      <w:r w:rsidR="00CD4548" w:rsidRPr="00F75B36">
        <w:rPr>
          <w:rFonts w:ascii="Public Sans" w:eastAsia="Helvetica" w:hAnsi="Public Sans" w:cs="Segoe UI"/>
          <w:b/>
          <w:sz w:val="18"/>
        </w:rPr>
        <w:t xml:space="preserve"> 2</w:t>
      </w:r>
      <w:r w:rsidRPr="00F75B36">
        <w:rPr>
          <w:rFonts w:ascii="Public Sans" w:eastAsia="Helvetica" w:hAnsi="Public Sans" w:cs="Segoe UI"/>
          <w:b/>
          <w:sz w:val="18"/>
        </w:rPr>
        <w:t>02</w:t>
      </w:r>
      <w:r w:rsidR="00790BD3">
        <w:rPr>
          <w:rFonts w:ascii="Public Sans" w:eastAsia="Helvetica" w:hAnsi="Public Sans" w:cs="Segoe UI"/>
          <w:b/>
          <w:sz w:val="18"/>
        </w:rPr>
        <w:t>2</w:t>
      </w:r>
    </w:p>
    <w:tbl>
      <w:tblPr>
        <w:tblStyle w:val="TableGrid"/>
        <w:tblW w:w="5000" w:type="pct"/>
        <w:tblLook w:val="04A0" w:firstRow="1" w:lastRow="0" w:firstColumn="1" w:lastColumn="0" w:noHBand="0" w:noVBand="1"/>
      </w:tblPr>
      <w:tblGrid>
        <w:gridCol w:w="2840"/>
        <w:gridCol w:w="1972"/>
        <w:gridCol w:w="2848"/>
        <w:gridCol w:w="1968"/>
      </w:tblGrid>
      <w:tr w:rsidR="00E958C0" w:rsidRPr="00D31642" w:rsidTr="0073669A">
        <w:tc>
          <w:tcPr>
            <w:tcW w:w="2499" w:type="pct"/>
            <w:gridSpan w:val="2"/>
            <w:shd w:val="clear" w:color="auto" w:fill="A5CCDF"/>
          </w:tcPr>
          <w:p w:rsidR="00E958C0" w:rsidRPr="00D31642" w:rsidRDefault="00E958C0" w:rsidP="008B2E7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Public Sans" w:eastAsia="Helvetica" w:hAnsi="Public Sans" w:cs="Segoe UI"/>
                <w:b/>
                <w:sz w:val="21"/>
                <w:szCs w:val="21"/>
              </w:rPr>
            </w:pPr>
            <w:r w:rsidRPr="00D31642">
              <w:rPr>
                <w:rFonts w:ascii="Public Sans" w:eastAsia="Helvetica" w:hAnsi="Public Sans" w:cs="Segoe UI"/>
                <w:b/>
                <w:sz w:val="21"/>
                <w:szCs w:val="21"/>
              </w:rPr>
              <w:t>Older people (n=</w:t>
            </w:r>
            <w:r w:rsidR="00B5395D">
              <w:rPr>
                <w:rFonts w:ascii="Public Sans" w:eastAsia="Helvetica" w:hAnsi="Public Sans" w:cs="Segoe UI"/>
                <w:b/>
                <w:sz w:val="21"/>
                <w:szCs w:val="21"/>
              </w:rPr>
              <w:t>714</w:t>
            </w:r>
            <w:r w:rsidRPr="00D31642">
              <w:rPr>
                <w:rFonts w:ascii="Public Sans" w:eastAsia="Helvetica" w:hAnsi="Public Sans" w:cs="Segoe UI"/>
                <w:b/>
                <w:sz w:val="21"/>
                <w:szCs w:val="21"/>
              </w:rPr>
              <w:t>)</w:t>
            </w:r>
          </w:p>
        </w:tc>
        <w:tc>
          <w:tcPr>
            <w:tcW w:w="2501" w:type="pct"/>
            <w:gridSpan w:val="2"/>
            <w:shd w:val="clear" w:color="auto" w:fill="A5CCDF"/>
          </w:tcPr>
          <w:p w:rsidR="00E958C0" w:rsidRPr="00D31642" w:rsidRDefault="00E958C0"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Public Sans" w:eastAsia="Helvetica" w:hAnsi="Public Sans" w:cs="Segoe UI"/>
                <w:b/>
                <w:sz w:val="21"/>
                <w:szCs w:val="21"/>
              </w:rPr>
            </w:pPr>
            <w:r w:rsidRPr="00D31642">
              <w:rPr>
                <w:rFonts w:ascii="Public Sans" w:eastAsia="Helvetica" w:hAnsi="Public Sans" w:cs="Segoe UI"/>
                <w:b/>
                <w:sz w:val="21"/>
                <w:szCs w:val="21"/>
              </w:rPr>
              <w:t>Adults with disability (n=</w:t>
            </w:r>
            <w:r w:rsidR="00AF414E" w:rsidRPr="00D31642">
              <w:rPr>
                <w:rFonts w:ascii="Public Sans" w:eastAsia="Helvetica" w:hAnsi="Public Sans" w:cs="Segoe UI"/>
                <w:b/>
                <w:sz w:val="21"/>
                <w:szCs w:val="21"/>
              </w:rPr>
              <w:t>2</w:t>
            </w:r>
            <w:r w:rsidR="00B5395D">
              <w:rPr>
                <w:rFonts w:ascii="Public Sans" w:eastAsia="Helvetica" w:hAnsi="Public Sans" w:cs="Segoe UI"/>
                <w:b/>
                <w:sz w:val="21"/>
                <w:szCs w:val="21"/>
              </w:rPr>
              <w:t>27</w:t>
            </w:r>
            <w:r w:rsidRPr="00D31642">
              <w:rPr>
                <w:rFonts w:ascii="Public Sans" w:eastAsia="Helvetica" w:hAnsi="Public Sans" w:cs="Segoe UI"/>
                <w:b/>
                <w:sz w:val="21"/>
                <w:szCs w:val="21"/>
              </w:rPr>
              <w:t>)</w:t>
            </w:r>
          </w:p>
          <w:p w:rsidR="00E958C0" w:rsidRPr="00D31642" w:rsidRDefault="00E958C0"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Public Sans" w:eastAsia="Helvetica" w:hAnsi="Public Sans" w:cs="Segoe UI"/>
                <w:b/>
                <w:sz w:val="21"/>
                <w:szCs w:val="21"/>
              </w:rPr>
            </w:pPr>
          </w:p>
        </w:tc>
      </w:tr>
      <w:tr w:rsidR="00E958C0" w:rsidRPr="00D31642" w:rsidTr="0073669A">
        <w:tc>
          <w:tcPr>
            <w:tcW w:w="1475" w:type="pct"/>
          </w:tcPr>
          <w:p w:rsidR="00E958C0" w:rsidRPr="00D31642" w:rsidRDefault="00B5395D"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Public Sans" w:eastAsia="Helvetica" w:hAnsi="Public Sans" w:cs="Segoe UI"/>
                <w:sz w:val="21"/>
                <w:szCs w:val="21"/>
              </w:rPr>
            </w:pPr>
            <w:r>
              <w:rPr>
                <w:rFonts w:ascii="Public Sans" w:eastAsia="Helvetica" w:hAnsi="Public Sans" w:cs="Segoe UI"/>
                <w:sz w:val="21"/>
                <w:szCs w:val="21"/>
              </w:rPr>
              <w:t>Italian</w:t>
            </w:r>
          </w:p>
        </w:tc>
        <w:tc>
          <w:tcPr>
            <w:tcW w:w="1024" w:type="pct"/>
          </w:tcPr>
          <w:p w:rsidR="00E958C0" w:rsidRPr="00D31642" w:rsidRDefault="008B2E77" w:rsidP="00A94F0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sz w:val="21"/>
                <w:szCs w:val="21"/>
              </w:rPr>
            </w:pPr>
            <w:r>
              <w:rPr>
                <w:rFonts w:ascii="Public Sans" w:eastAsia="Helvetica" w:hAnsi="Public Sans" w:cs="Segoe UI"/>
                <w:sz w:val="21"/>
                <w:szCs w:val="21"/>
              </w:rPr>
              <w:t>10</w:t>
            </w:r>
          </w:p>
        </w:tc>
        <w:tc>
          <w:tcPr>
            <w:tcW w:w="1479" w:type="pct"/>
          </w:tcPr>
          <w:p w:rsidR="00E958C0" w:rsidRPr="00D31642" w:rsidRDefault="0073669A"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Public Sans" w:eastAsia="Helvetica" w:hAnsi="Public Sans" w:cs="Segoe UI"/>
                <w:sz w:val="21"/>
                <w:szCs w:val="21"/>
              </w:rPr>
            </w:pPr>
            <w:r>
              <w:rPr>
                <w:rFonts w:ascii="Public Sans" w:eastAsia="Helvetica" w:hAnsi="Public Sans" w:cs="Segoe UI"/>
                <w:sz w:val="21"/>
                <w:szCs w:val="21"/>
              </w:rPr>
              <w:t>Italian</w:t>
            </w:r>
          </w:p>
        </w:tc>
        <w:tc>
          <w:tcPr>
            <w:tcW w:w="1022" w:type="pct"/>
          </w:tcPr>
          <w:p w:rsidR="00E958C0" w:rsidRPr="00D31642" w:rsidRDefault="0073669A" w:rsidP="002B696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sz w:val="21"/>
                <w:szCs w:val="21"/>
              </w:rPr>
            </w:pPr>
            <w:r>
              <w:rPr>
                <w:rFonts w:ascii="Public Sans" w:eastAsia="Helvetica" w:hAnsi="Public Sans" w:cs="Segoe UI"/>
                <w:sz w:val="21"/>
                <w:szCs w:val="21"/>
              </w:rPr>
              <w:t>&lt;</w:t>
            </w:r>
            <w:r w:rsidR="008B2E77">
              <w:rPr>
                <w:rFonts w:ascii="Public Sans" w:eastAsia="Helvetica" w:hAnsi="Public Sans" w:cs="Segoe UI"/>
                <w:sz w:val="21"/>
                <w:szCs w:val="21"/>
              </w:rPr>
              <w:t>3</w:t>
            </w:r>
          </w:p>
        </w:tc>
      </w:tr>
      <w:tr w:rsidR="00E958C0" w:rsidRPr="00D31642" w:rsidTr="0073669A">
        <w:tc>
          <w:tcPr>
            <w:tcW w:w="1475" w:type="pct"/>
          </w:tcPr>
          <w:p w:rsidR="00E958C0" w:rsidRPr="00D31642" w:rsidRDefault="00B5395D"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Public Sans" w:eastAsia="Helvetica" w:hAnsi="Public Sans" w:cs="Segoe UI"/>
                <w:sz w:val="21"/>
                <w:szCs w:val="21"/>
              </w:rPr>
            </w:pPr>
            <w:r>
              <w:rPr>
                <w:rFonts w:ascii="Public Sans" w:eastAsia="Helvetica" w:hAnsi="Public Sans" w:cs="Segoe UI"/>
                <w:sz w:val="21"/>
                <w:szCs w:val="21"/>
              </w:rPr>
              <w:t>Greek</w:t>
            </w:r>
          </w:p>
        </w:tc>
        <w:tc>
          <w:tcPr>
            <w:tcW w:w="1024" w:type="pct"/>
          </w:tcPr>
          <w:p w:rsidR="00E958C0" w:rsidRPr="00D31642" w:rsidRDefault="008B2E77" w:rsidP="00247D2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sz w:val="21"/>
                <w:szCs w:val="21"/>
              </w:rPr>
            </w:pPr>
            <w:r>
              <w:rPr>
                <w:rFonts w:ascii="Public Sans" w:eastAsia="Helvetica" w:hAnsi="Public Sans" w:cs="Segoe UI"/>
                <w:sz w:val="21"/>
                <w:szCs w:val="21"/>
              </w:rPr>
              <w:t>8</w:t>
            </w:r>
          </w:p>
        </w:tc>
        <w:tc>
          <w:tcPr>
            <w:tcW w:w="1479" w:type="pct"/>
          </w:tcPr>
          <w:p w:rsidR="00E958C0" w:rsidRPr="00D31642" w:rsidRDefault="0073669A"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Public Sans" w:eastAsia="Helvetica" w:hAnsi="Public Sans" w:cs="Segoe UI"/>
                <w:sz w:val="21"/>
                <w:szCs w:val="21"/>
              </w:rPr>
            </w:pPr>
            <w:r>
              <w:rPr>
                <w:rFonts w:ascii="Public Sans" w:eastAsia="Helvetica" w:hAnsi="Public Sans" w:cs="Segoe UI"/>
                <w:sz w:val="21"/>
                <w:szCs w:val="21"/>
              </w:rPr>
              <w:t>Turkish</w:t>
            </w:r>
          </w:p>
        </w:tc>
        <w:tc>
          <w:tcPr>
            <w:tcW w:w="1022" w:type="pct"/>
          </w:tcPr>
          <w:p w:rsidR="00E958C0" w:rsidRPr="00D31642" w:rsidRDefault="002B6964" w:rsidP="002B696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sz w:val="21"/>
                <w:szCs w:val="21"/>
              </w:rPr>
            </w:pPr>
            <w:r w:rsidRPr="00D31642">
              <w:rPr>
                <w:rFonts w:ascii="Public Sans" w:eastAsia="Helvetica" w:hAnsi="Public Sans" w:cs="Segoe UI"/>
                <w:sz w:val="21"/>
                <w:szCs w:val="21"/>
              </w:rPr>
              <w:t>&lt;3</w:t>
            </w:r>
          </w:p>
        </w:tc>
      </w:tr>
      <w:tr w:rsidR="00E958C0" w:rsidRPr="00D31642" w:rsidTr="0073669A">
        <w:tc>
          <w:tcPr>
            <w:tcW w:w="1475" w:type="pct"/>
          </w:tcPr>
          <w:p w:rsidR="00E958C0" w:rsidRPr="00D31642" w:rsidRDefault="008B2E77"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Public Sans" w:eastAsia="Helvetica" w:hAnsi="Public Sans" w:cs="Segoe UI"/>
                <w:sz w:val="21"/>
                <w:szCs w:val="21"/>
              </w:rPr>
            </w:pPr>
            <w:r>
              <w:rPr>
                <w:rFonts w:ascii="Public Sans" w:eastAsia="Helvetica" w:hAnsi="Public Sans" w:cs="Segoe UI"/>
                <w:sz w:val="21"/>
                <w:szCs w:val="21"/>
              </w:rPr>
              <w:t>Spanish</w:t>
            </w:r>
          </w:p>
        </w:tc>
        <w:tc>
          <w:tcPr>
            <w:tcW w:w="1024" w:type="pct"/>
          </w:tcPr>
          <w:p w:rsidR="00E958C0" w:rsidRPr="00D31642" w:rsidRDefault="008B2E77" w:rsidP="00247D2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sz w:val="21"/>
                <w:szCs w:val="21"/>
              </w:rPr>
            </w:pPr>
            <w:r>
              <w:rPr>
                <w:rFonts w:ascii="Public Sans" w:eastAsia="Helvetica" w:hAnsi="Public Sans" w:cs="Segoe UI"/>
                <w:sz w:val="21"/>
                <w:szCs w:val="21"/>
              </w:rPr>
              <w:t>5</w:t>
            </w:r>
          </w:p>
        </w:tc>
        <w:tc>
          <w:tcPr>
            <w:tcW w:w="1479" w:type="pct"/>
          </w:tcPr>
          <w:p w:rsidR="00E958C0" w:rsidRPr="00D31642" w:rsidRDefault="0073669A"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Public Sans" w:eastAsia="Helvetica" w:hAnsi="Public Sans" w:cs="Segoe UI"/>
                <w:sz w:val="21"/>
                <w:szCs w:val="21"/>
              </w:rPr>
            </w:pPr>
            <w:r>
              <w:rPr>
                <w:rFonts w:ascii="Public Sans" w:eastAsia="Helvetica" w:hAnsi="Public Sans" w:cs="Segoe UI"/>
                <w:sz w:val="21"/>
                <w:szCs w:val="21"/>
              </w:rPr>
              <w:t>Vietnamese</w:t>
            </w:r>
          </w:p>
        </w:tc>
        <w:tc>
          <w:tcPr>
            <w:tcW w:w="1022" w:type="pct"/>
          </w:tcPr>
          <w:p w:rsidR="00E958C0" w:rsidRPr="00D31642" w:rsidRDefault="002B6964" w:rsidP="002B696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sz w:val="21"/>
                <w:szCs w:val="21"/>
              </w:rPr>
            </w:pPr>
            <w:r w:rsidRPr="00D31642">
              <w:rPr>
                <w:rFonts w:ascii="Public Sans" w:eastAsia="Helvetica" w:hAnsi="Public Sans" w:cs="Segoe UI"/>
                <w:sz w:val="21"/>
                <w:szCs w:val="21"/>
              </w:rPr>
              <w:t>&lt;3</w:t>
            </w:r>
          </w:p>
        </w:tc>
      </w:tr>
      <w:tr w:rsidR="00E958C0" w:rsidRPr="00D31642" w:rsidTr="0073669A">
        <w:tc>
          <w:tcPr>
            <w:tcW w:w="1475" w:type="pct"/>
          </w:tcPr>
          <w:p w:rsidR="00E958C0" w:rsidRPr="00D31642" w:rsidRDefault="00B5395D"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Public Sans" w:eastAsia="Helvetica" w:hAnsi="Public Sans" w:cs="Segoe UI"/>
                <w:sz w:val="21"/>
                <w:szCs w:val="21"/>
              </w:rPr>
            </w:pPr>
            <w:r>
              <w:rPr>
                <w:rFonts w:ascii="Public Sans" w:eastAsia="Helvetica" w:hAnsi="Public Sans" w:cs="Segoe UI"/>
                <w:sz w:val="21"/>
                <w:szCs w:val="21"/>
              </w:rPr>
              <w:t>Mandarin</w:t>
            </w:r>
          </w:p>
        </w:tc>
        <w:tc>
          <w:tcPr>
            <w:tcW w:w="1024" w:type="pct"/>
          </w:tcPr>
          <w:p w:rsidR="00E958C0" w:rsidRPr="00D31642" w:rsidRDefault="008B2E77" w:rsidP="00247D2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sz w:val="21"/>
                <w:szCs w:val="21"/>
              </w:rPr>
            </w:pPr>
            <w:r>
              <w:rPr>
                <w:rFonts w:ascii="Public Sans" w:eastAsia="Helvetica" w:hAnsi="Public Sans" w:cs="Segoe UI"/>
                <w:sz w:val="21"/>
                <w:szCs w:val="21"/>
              </w:rPr>
              <w:t>5</w:t>
            </w:r>
          </w:p>
        </w:tc>
        <w:tc>
          <w:tcPr>
            <w:tcW w:w="1479" w:type="pct"/>
          </w:tcPr>
          <w:p w:rsidR="00E958C0" w:rsidRPr="00D31642" w:rsidRDefault="0073669A"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Public Sans" w:eastAsia="Helvetica" w:hAnsi="Public Sans" w:cs="Segoe UI"/>
                <w:sz w:val="21"/>
                <w:szCs w:val="21"/>
              </w:rPr>
            </w:pPr>
            <w:r>
              <w:rPr>
                <w:rFonts w:ascii="Public Sans" w:eastAsia="Helvetica" w:hAnsi="Public Sans" w:cs="Segoe UI"/>
                <w:sz w:val="21"/>
                <w:szCs w:val="21"/>
              </w:rPr>
              <w:t>Mandarin</w:t>
            </w:r>
          </w:p>
        </w:tc>
        <w:tc>
          <w:tcPr>
            <w:tcW w:w="1022" w:type="pct"/>
          </w:tcPr>
          <w:p w:rsidR="00E958C0" w:rsidRPr="00D31642" w:rsidRDefault="008B2E77" w:rsidP="002B696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sz w:val="21"/>
                <w:szCs w:val="21"/>
              </w:rPr>
            </w:pPr>
            <w:r>
              <w:rPr>
                <w:rFonts w:ascii="Public Sans" w:eastAsia="Helvetica" w:hAnsi="Public Sans" w:cs="Segoe UI"/>
                <w:sz w:val="21"/>
                <w:szCs w:val="21"/>
              </w:rPr>
              <w:t>&lt;3</w:t>
            </w:r>
          </w:p>
        </w:tc>
      </w:tr>
      <w:tr w:rsidR="00E958C0" w:rsidRPr="00D31642" w:rsidTr="0073669A">
        <w:tc>
          <w:tcPr>
            <w:tcW w:w="1475" w:type="pct"/>
          </w:tcPr>
          <w:p w:rsidR="00E958C0" w:rsidRPr="00D31642" w:rsidRDefault="00B5395D"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Public Sans" w:eastAsia="Helvetica" w:hAnsi="Public Sans" w:cs="Segoe UI"/>
                <w:sz w:val="21"/>
                <w:szCs w:val="21"/>
              </w:rPr>
            </w:pPr>
            <w:r>
              <w:rPr>
                <w:rFonts w:ascii="Public Sans" w:eastAsia="Helvetica" w:hAnsi="Public Sans" w:cs="Segoe UI"/>
                <w:sz w:val="21"/>
                <w:szCs w:val="21"/>
              </w:rPr>
              <w:t>Cantonese</w:t>
            </w:r>
          </w:p>
        </w:tc>
        <w:tc>
          <w:tcPr>
            <w:tcW w:w="1024" w:type="pct"/>
          </w:tcPr>
          <w:p w:rsidR="00E958C0" w:rsidRPr="00D31642" w:rsidRDefault="008B2E77" w:rsidP="00F75B3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sz w:val="21"/>
                <w:szCs w:val="21"/>
              </w:rPr>
            </w:pPr>
            <w:r>
              <w:rPr>
                <w:rFonts w:ascii="Public Sans" w:eastAsia="Helvetica" w:hAnsi="Public Sans" w:cs="Segoe UI"/>
                <w:sz w:val="21"/>
                <w:szCs w:val="21"/>
              </w:rPr>
              <w:t>4</w:t>
            </w:r>
          </w:p>
        </w:tc>
        <w:tc>
          <w:tcPr>
            <w:tcW w:w="1479" w:type="pct"/>
          </w:tcPr>
          <w:p w:rsidR="00E958C0" w:rsidRPr="00D31642" w:rsidRDefault="0073669A" w:rsidP="00E958C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Public Sans" w:eastAsia="Helvetica" w:hAnsi="Public Sans" w:cs="Segoe UI"/>
                <w:sz w:val="21"/>
                <w:szCs w:val="21"/>
              </w:rPr>
            </w:pPr>
            <w:r>
              <w:rPr>
                <w:rFonts w:ascii="Public Sans" w:eastAsia="Helvetica" w:hAnsi="Public Sans" w:cs="Segoe UI"/>
                <w:sz w:val="21"/>
                <w:szCs w:val="21"/>
              </w:rPr>
              <w:t>Samoan</w:t>
            </w:r>
          </w:p>
        </w:tc>
        <w:tc>
          <w:tcPr>
            <w:tcW w:w="1022" w:type="pct"/>
          </w:tcPr>
          <w:p w:rsidR="00E958C0" w:rsidRPr="00D31642" w:rsidRDefault="0073669A" w:rsidP="002B696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Public Sans" w:eastAsia="Helvetica" w:hAnsi="Public Sans" w:cs="Segoe UI"/>
                <w:sz w:val="21"/>
                <w:szCs w:val="21"/>
              </w:rPr>
            </w:pPr>
            <w:r>
              <w:rPr>
                <w:rFonts w:ascii="Public Sans" w:eastAsia="Helvetica" w:hAnsi="Public Sans" w:cs="Segoe UI"/>
                <w:sz w:val="21"/>
                <w:szCs w:val="21"/>
              </w:rPr>
              <w:t>&lt;3</w:t>
            </w:r>
          </w:p>
        </w:tc>
      </w:tr>
    </w:tbl>
    <w:p w:rsidR="00E958C0" w:rsidRDefault="00E958C0" w:rsidP="00E958C0">
      <w:pPr>
        <w:spacing w:after="0" w:line="240" w:lineRule="auto"/>
        <w:rPr>
          <w:rFonts w:ascii="Public Sans" w:hAnsi="Public Sans"/>
          <w:sz w:val="24"/>
        </w:rPr>
      </w:pPr>
      <w:r w:rsidRPr="005576E4">
        <w:rPr>
          <w:rFonts w:ascii="Public Sans" w:hAnsi="Public Sans"/>
        </w:rPr>
        <w:t xml:space="preserve"> </w:t>
      </w:r>
    </w:p>
    <w:p w:rsidR="00DF4595" w:rsidRPr="00DF4595" w:rsidRDefault="00DF4595" w:rsidP="00E958C0">
      <w:pPr>
        <w:spacing w:after="0" w:line="240" w:lineRule="auto"/>
        <w:rPr>
          <w:rFonts w:ascii="Public Sans" w:hAnsi="Public Sans"/>
          <w:sz w:val="24"/>
        </w:rPr>
      </w:pPr>
    </w:p>
    <w:p w:rsidR="008A614A" w:rsidRPr="00F75B36" w:rsidRDefault="00E134D4" w:rsidP="007A4BC6">
      <w:pPr>
        <w:pStyle w:val="Heading2"/>
        <w:spacing w:before="0"/>
        <w:rPr>
          <w:rFonts w:ascii="Public Sans" w:hAnsi="Public Sans"/>
          <w:b/>
          <w:color w:val="auto"/>
        </w:rPr>
      </w:pPr>
      <w:r w:rsidRPr="00F75B36">
        <w:rPr>
          <w:rFonts w:ascii="Public Sans" w:hAnsi="Public Sans"/>
          <w:b/>
          <w:color w:val="auto"/>
        </w:rPr>
        <w:t>2.</w:t>
      </w:r>
      <w:r w:rsidR="00904EAF" w:rsidRPr="00F75B36">
        <w:rPr>
          <w:rFonts w:ascii="Public Sans" w:hAnsi="Public Sans"/>
          <w:b/>
          <w:color w:val="auto"/>
        </w:rPr>
        <w:t>4</w:t>
      </w:r>
      <w:r w:rsidRPr="00F75B36">
        <w:rPr>
          <w:rFonts w:ascii="Public Sans" w:hAnsi="Public Sans"/>
          <w:b/>
          <w:color w:val="auto"/>
        </w:rPr>
        <w:t xml:space="preserve"> </w:t>
      </w:r>
      <w:r w:rsidR="00631A3A" w:rsidRPr="00F75B36">
        <w:rPr>
          <w:rFonts w:ascii="Public Sans" w:hAnsi="Public Sans"/>
          <w:b/>
          <w:color w:val="auto"/>
        </w:rPr>
        <w:tab/>
      </w:r>
      <w:r w:rsidR="00014357" w:rsidRPr="00F75B36">
        <w:rPr>
          <w:rFonts w:ascii="Public Sans" w:hAnsi="Public Sans"/>
          <w:b/>
          <w:color w:val="auto"/>
        </w:rPr>
        <w:t xml:space="preserve">Gender </w:t>
      </w:r>
    </w:p>
    <w:p w:rsidR="003D1F72" w:rsidRDefault="00F54F4A" w:rsidP="00F75B36">
      <w:pPr>
        <w:pStyle w:val="Body"/>
        <w:widowControl w:val="0"/>
        <w:spacing w:before="120" w:after="0" w:line="240" w:lineRule="auto"/>
        <w:rPr>
          <w:rFonts w:ascii="Public Sans" w:eastAsia="Helvetica" w:hAnsi="Public Sans" w:cs="Segoe UI"/>
        </w:rPr>
      </w:pPr>
      <w:r>
        <w:rPr>
          <w:rFonts w:ascii="Public Sans" w:eastAsia="Helvetica" w:hAnsi="Public Sans" w:cs="Segoe UI"/>
        </w:rPr>
        <w:t>Consistent with reports since the start of the ADC, m</w:t>
      </w:r>
      <w:r w:rsidR="00890BC3" w:rsidRPr="005576E4">
        <w:rPr>
          <w:rFonts w:ascii="Public Sans" w:eastAsia="Helvetica" w:hAnsi="Public Sans" w:cs="Segoe UI"/>
        </w:rPr>
        <w:t>ost (6</w:t>
      </w:r>
      <w:r w:rsidR="00E00033">
        <w:rPr>
          <w:rFonts w:ascii="Public Sans" w:eastAsia="Helvetica" w:hAnsi="Public Sans" w:cs="Segoe UI"/>
        </w:rPr>
        <w:t>5.3</w:t>
      </w:r>
      <w:r w:rsidR="00890BC3" w:rsidRPr="005576E4">
        <w:rPr>
          <w:rFonts w:ascii="Public Sans" w:eastAsia="Helvetica" w:hAnsi="Public Sans" w:cs="Segoe UI"/>
        </w:rPr>
        <w:t xml:space="preserve">%) of the </w:t>
      </w:r>
      <w:r w:rsidR="00E00033">
        <w:rPr>
          <w:rFonts w:ascii="Public Sans" w:eastAsia="Helvetica" w:hAnsi="Public Sans" w:cs="Segoe UI"/>
        </w:rPr>
        <w:t>714</w:t>
      </w:r>
      <w:r w:rsidR="00890BC3" w:rsidRPr="005576E4">
        <w:rPr>
          <w:rFonts w:ascii="Public Sans" w:eastAsia="Helvetica" w:hAnsi="Public Sans" w:cs="Segoe UI"/>
        </w:rPr>
        <w:t xml:space="preserve"> reports to the ADC about older people in </w:t>
      </w:r>
      <w:r w:rsidR="00E00033">
        <w:rPr>
          <w:rFonts w:ascii="Public Sans" w:eastAsia="Helvetica" w:hAnsi="Public Sans" w:cs="Segoe UI"/>
        </w:rPr>
        <w:t>October</w:t>
      </w:r>
      <w:r w:rsidR="00890BC3" w:rsidRPr="005576E4">
        <w:rPr>
          <w:rFonts w:ascii="Public Sans" w:eastAsia="Helvetica" w:hAnsi="Public Sans" w:cs="Segoe UI"/>
        </w:rPr>
        <w:t xml:space="preserve"> – </w:t>
      </w:r>
      <w:r w:rsidR="00E00033">
        <w:rPr>
          <w:rFonts w:ascii="Public Sans" w:eastAsia="Helvetica" w:hAnsi="Public Sans" w:cs="Segoe UI"/>
        </w:rPr>
        <w:t>Dec</w:t>
      </w:r>
      <w:r w:rsidR="002B51BE">
        <w:rPr>
          <w:rFonts w:ascii="Public Sans" w:eastAsia="Helvetica" w:hAnsi="Public Sans" w:cs="Segoe UI"/>
        </w:rPr>
        <w:t>ember</w:t>
      </w:r>
      <w:r w:rsidR="00CC4D6E">
        <w:rPr>
          <w:rFonts w:ascii="Public Sans" w:eastAsia="Helvetica" w:hAnsi="Public Sans" w:cs="Segoe UI"/>
        </w:rPr>
        <w:t xml:space="preserve"> 2022</w:t>
      </w:r>
      <w:r w:rsidR="00890BC3" w:rsidRPr="005576E4">
        <w:rPr>
          <w:rFonts w:ascii="Public Sans" w:eastAsia="Helvetica" w:hAnsi="Public Sans" w:cs="Segoe UI"/>
        </w:rPr>
        <w:t xml:space="preserve"> concerned older women. </w:t>
      </w:r>
    </w:p>
    <w:p w:rsidR="003D1F72" w:rsidRDefault="003D1F72" w:rsidP="003D1F72">
      <w:pPr>
        <w:pStyle w:val="Body"/>
        <w:widowControl w:val="0"/>
        <w:spacing w:after="0" w:line="240" w:lineRule="auto"/>
        <w:rPr>
          <w:rFonts w:ascii="Public Sans" w:eastAsia="Helvetica" w:hAnsi="Public Sans" w:cs="Segoe UI"/>
        </w:rPr>
      </w:pPr>
    </w:p>
    <w:p w:rsidR="00890BC3" w:rsidRPr="005576E4" w:rsidRDefault="00890BC3" w:rsidP="003D1F72">
      <w:pPr>
        <w:pStyle w:val="Body"/>
        <w:widowControl w:val="0"/>
        <w:spacing w:after="0" w:line="240" w:lineRule="auto"/>
        <w:rPr>
          <w:rFonts w:ascii="Public Sans" w:eastAsia="Helvetica" w:hAnsi="Public Sans" w:cs="Segoe UI"/>
        </w:rPr>
      </w:pPr>
      <w:r w:rsidRPr="005576E4">
        <w:rPr>
          <w:rFonts w:ascii="Public Sans" w:eastAsia="Helvetica" w:hAnsi="Public Sans" w:cs="Segoe UI"/>
        </w:rPr>
        <w:t>Of the 2</w:t>
      </w:r>
      <w:r w:rsidR="00E00033">
        <w:rPr>
          <w:rFonts w:ascii="Public Sans" w:eastAsia="Helvetica" w:hAnsi="Public Sans" w:cs="Segoe UI"/>
        </w:rPr>
        <w:t>27</w:t>
      </w:r>
      <w:r w:rsidRPr="005576E4">
        <w:rPr>
          <w:rFonts w:ascii="Public Sans" w:eastAsia="Helvetica" w:hAnsi="Public Sans" w:cs="Segoe UI"/>
        </w:rPr>
        <w:t xml:space="preserve"> reports to the ADC about adults with disability in this quarter, </w:t>
      </w:r>
      <w:r w:rsidR="00CD55E2">
        <w:rPr>
          <w:rFonts w:ascii="Public Sans" w:eastAsia="Helvetica" w:hAnsi="Public Sans" w:cs="Segoe UI"/>
        </w:rPr>
        <w:t xml:space="preserve">just over </w:t>
      </w:r>
      <w:r w:rsidRPr="005576E4">
        <w:rPr>
          <w:rFonts w:ascii="Public Sans" w:eastAsia="Helvetica" w:hAnsi="Public Sans" w:cs="Segoe UI"/>
        </w:rPr>
        <w:t>half (5</w:t>
      </w:r>
      <w:r w:rsidR="00E00033">
        <w:rPr>
          <w:rFonts w:ascii="Public Sans" w:eastAsia="Helvetica" w:hAnsi="Public Sans" w:cs="Segoe UI"/>
        </w:rPr>
        <w:t>5.1</w:t>
      </w:r>
      <w:r w:rsidRPr="005576E4">
        <w:rPr>
          <w:rFonts w:ascii="Public Sans" w:eastAsia="Helvetica" w:hAnsi="Public Sans" w:cs="Segoe UI"/>
        </w:rPr>
        <w:t xml:space="preserve">%) were about women with disability. </w:t>
      </w:r>
    </w:p>
    <w:p w:rsidR="00014357" w:rsidRPr="005576E4" w:rsidRDefault="00014357" w:rsidP="007A4BC6">
      <w:pPr>
        <w:pStyle w:val="Body"/>
        <w:widowControl w:val="0"/>
        <w:spacing w:after="0" w:line="240" w:lineRule="auto"/>
        <w:rPr>
          <w:rFonts w:ascii="Public Sans" w:eastAsia="Helvetica" w:hAnsi="Public Sans" w:cs="Segoe UI"/>
          <w:sz w:val="20"/>
        </w:rPr>
      </w:pPr>
    </w:p>
    <w:p w:rsidR="003D02E4" w:rsidRPr="00CA111C" w:rsidRDefault="003D02E4" w:rsidP="003D02E4">
      <w:pPr>
        <w:spacing w:after="0" w:line="240" w:lineRule="auto"/>
        <w:rPr>
          <w:rFonts w:ascii="Public Sans" w:hAnsi="Public Sans" w:cs="Segoe UI"/>
          <w:b/>
          <w:sz w:val="18"/>
        </w:rPr>
      </w:pPr>
      <w:r w:rsidRPr="00CA111C">
        <w:rPr>
          <w:rFonts w:ascii="Public Sans" w:hAnsi="Public Sans" w:cs="Segoe UI"/>
          <w:b/>
          <w:sz w:val="18"/>
        </w:rPr>
        <w:t xml:space="preserve">Figure 4: Gender of </w:t>
      </w:r>
      <w:r w:rsidR="008014CA" w:rsidRPr="00CA111C">
        <w:rPr>
          <w:rFonts w:ascii="Public Sans" w:hAnsi="Public Sans" w:cs="Segoe UI"/>
          <w:b/>
          <w:sz w:val="18"/>
        </w:rPr>
        <w:t xml:space="preserve">adults with disability and </w:t>
      </w:r>
      <w:r w:rsidRPr="00CA111C">
        <w:rPr>
          <w:rFonts w:ascii="Public Sans" w:hAnsi="Public Sans" w:cs="Segoe UI"/>
          <w:b/>
          <w:sz w:val="18"/>
        </w:rPr>
        <w:t xml:space="preserve">older people the subject of a report to the ADC, </w:t>
      </w:r>
      <w:r w:rsidR="00E00033">
        <w:rPr>
          <w:rFonts w:ascii="Public Sans" w:hAnsi="Public Sans" w:cs="Segoe UI"/>
          <w:b/>
          <w:sz w:val="18"/>
        </w:rPr>
        <w:t>Oct</w:t>
      </w:r>
      <w:r w:rsidR="00CA111C">
        <w:rPr>
          <w:rFonts w:ascii="Public Sans" w:hAnsi="Public Sans" w:cs="Segoe UI"/>
          <w:b/>
          <w:sz w:val="18"/>
        </w:rPr>
        <w:t>-</w:t>
      </w:r>
      <w:r w:rsidR="00E00033">
        <w:rPr>
          <w:rFonts w:ascii="Public Sans" w:hAnsi="Public Sans" w:cs="Segoe UI"/>
          <w:b/>
          <w:sz w:val="18"/>
        </w:rPr>
        <w:t>Dec</w:t>
      </w:r>
      <w:r w:rsidRPr="00CA111C">
        <w:rPr>
          <w:rFonts w:ascii="Public Sans" w:hAnsi="Public Sans" w:cs="Segoe UI"/>
          <w:b/>
          <w:sz w:val="18"/>
        </w:rPr>
        <w:t xml:space="preserve"> 202</w:t>
      </w:r>
      <w:r w:rsidR="00CC4D6E">
        <w:rPr>
          <w:rFonts w:ascii="Public Sans" w:hAnsi="Public Sans" w:cs="Segoe UI"/>
          <w:b/>
          <w:sz w:val="18"/>
        </w:rPr>
        <w:t>2</w:t>
      </w:r>
    </w:p>
    <w:p w:rsidR="002B6964" w:rsidRPr="005576E4" w:rsidRDefault="000E0B6A" w:rsidP="003D02E4">
      <w:pPr>
        <w:spacing w:after="0" w:line="240" w:lineRule="auto"/>
        <w:rPr>
          <w:rFonts w:ascii="Public Sans" w:hAnsi="Public Sans" w:cs="Segoe UI"/>
          <w:b/>
          <w:sz w:val="20"/>
        </w:rPr>
      </w:pPr>
      <w:r>
        <w:rPr>
          <w:noProof/>
          <w:lang w:eastAsia="en-AU"/>
        </w:rPr>
        <w:lastRenderedPageBreak/>
        <w:drawing>
          <wp:inline distT="0" distB="0" distL="0" distR="0" wp14:anchorId="2D18E7DC" wp14:editId="68FC3865">
            <wp:extent cx="6096000" cy="22383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B6964" w:rsidRDefault="002B6964" w:rsidP="003D02E4">
      <w:pPr>
        <w:spacing w:after="0" w:line="240" w:lineRule="auto"/>
        <w:rPr>
          <w:rFonts w:ascii="Public Sans" w:hAnsi="Public Sans" w:cs="Segoe UI"/>
          <w:b/>
          <w:sz w:val="20"/>
        </w:rPr>
      </w:pPr>
    </w:p>
    <w:p w:rsidR="005214D2" w:rsidRDefault="005214D2" w:rsidP="003D02E4">
      <w:pPr>
        <w:spacing w:after="0" w:line="240" w:lineRule="auto"/>
        <w:rPr>
          <w:rFonts w:ascii="Public Sans" w:hAnsi="Public Sans" w:cs="Segoe UI"/>
          <w:b/>
          <w:sz w:val="20"/>
        </w:rPr>
      </w:pPr>
    </w:p>
    <w:p w:rsidR="005214D2" w:rsidRPr="005576E4" w:rsidRDefault="005214D2" w:rsidP="007A4BC6">
      <w:pPr>
        <w:pStyle w:val="Body"/>
        <w:widowControl w:val="0"/>
        <w:spacing w:after="0" w:line="240" w:lineRule="auto"/>
        <w:rPr>
          <w:rFonts w:ascii="Public Sans" w:eastAsia="Helvetica" w:hAnsi="Public Sans" w:cs="Segoe UI"/>
          <w:sz w:val="20"/>
        </w:rPr>
      </w:pPr>
    </w:p>
    <w:p w:rsidR="008E3810" w:rsidRPr="00F54F4A" w:rsidRDefault="00E134D4" w:rsidP="007A4BC6">
      <w:pPr>
        <w:pStyle w:val="Heading2"/>
        <w:spacing w:before="0"/>
        <w:rPr>
          <w:rFonts w:ascii="Public Sans" w:hAnsi="Public Sans"/>
          <w:color w:val="auto"/>
        </w:rPr>
      </w:pPr>
      <w:r w:rsidRPr="00F54F4A">
        <w:rPr>
          <w:rFonts w:ascii="Public Sans" w:eastAsia="Helvetica" w:hAnsi="Public Sans"/>
          <w:b/>
          <w:color w:val="auto"/>
        </w:rPr>
        <w:t xml:space="preserve">2.5 </w:t>
      </w:r>
      <w:r w:rsidR="00631A3A" w:rsidRPr="00F54F4A">
        <w:rPr>
          <w:rFonts w:ascii="Public Sans" w:eastAsia="Helvetica" w:hAnsi="Public Sans"/>
          <w:b/>
          <w:color w:val="auto"/>
        </w:rPr>
        <w:tab/>
      </w:r>
      <w:r w:rsidR="00DA6DB3" w:rsidRPr="00F54F4A">
        <w:rPr>
          <w:rFonts w:ascii="Public Sans" w:eastAsia="Helvetica" w:hAnsi="Public Sans"/>
          <w:b/>
          <w:color w:val="auto"/>
        </w:rPr>
        <w:t>Age</w:t>
      </w:r>
    </w:p>
    <w:p w:rsidR="003D0614" w:rsidRDefault="000E3DCE" w:rsidP="004E332F">
      <w:pPr>
        <w:spacing w:before="120" w:after="0" w:line="240" w:lineRule="auto"/>
        <w:rPr>
          <w:rFonts w:ascii="Public Sans" w:hAnsi="Public Sans" w:cs="Segoe UI"/>
        </w:rPr>
      </w:pPr>
      <w:r>
        <w:rPr>
          <w:rFonts w:ascii="Public Sans" w:hAnsi="Public Sans" w:cs="Segoe UI"/>
        </w:rPr>
        <w:t>T</w:t>
      </w:r>
      <w:r w:rsidR="0023234E" w:rsidRPr="005576E4">
        <w:rPr>
          <w:rFonts w:ascii="Public Sans" w:hAnsi="Public Sans" w:cs="Segoe UI"/>
        </w:rPr>
        <w:t xml:space="preserve">he largest proportion of </w:t>
      </w:r>
      <w:r w:rsidR="00571D1C" w:rsidRPr="005576E4">
        <w:rPr>
          <w:rFonts w:ascii="Public Sans" w:hAnsi="Public Sans" w:cs="Segoe UI"/>
        </w:rPr>
        <w:t xml:space="preserve">the </w:t>
      </w:r>
      <w:r w:rsidR="00E369DF">
        <w:rPr>
          <w:rFonts w:ascii="Public Sans" w:hAnsi="Public Sans" w:cs="Segoe UI"/>
        </w:rPr>
        <w:t>714</w:t>
      </w:r>
      <w:r w:rsidR="00571D1C" w:rsidRPr="005576E4">
        <w:rPr>
          <w:rFonts w:ascii="Public Sans" w:hAnsi="Public Sans" w:cs="Segoe UI"/>
        </w:rPr>
        <w:t xml:space="preserve"> </w:t>
      </w:r>
      <w:r w:rsidR="0023234E" w:rsidRPr="005576E4">
        <w:rPr>
          <w:rFonts w:ascii="Public Sans" w:hAnsi="Public Sans" w:cs="Segoe UI"/>
        </w:rPr>
        <w:t xml:space="preserve">reports about older people in </w:t>
      </w:r>
      <w:r w:rsidR="00E369DF">
        <w:rPr>
          <w:rFonts w:ascii="Public Sans" w:hAnsi="Public Sans" w:cs="Segoe UI"/>
        </w:rPr>
        <w:t>October</w:t>
      </w:r>
      <w:r w:rsidR="0023234E" w:rsidRPr="005576E4">
        <w:rPr>
          <w:rFonts w:ascii="Public Sans" w:hAnsi="Public Sans" w:cs="Segoe UI"/>
        </w:rPr>
        <w:t xml:space="preserve"> – </w:t>
      </w:r>
      <w:r w:rsidR="00E369DF">
        <w:rPr>
          <w:rFonts w:ascii="Public Sans" w:hAnsi="Public Sans" w:cs="Segoe UI"/>
        </w:rPr>
        <w:t>Dec</w:t>
      </w:r>
      <w:r w:rsidR="00992DE2">
        <w:rPr>
          <w:rFonts w:ascii="Public Sans" w:hAnsi="Public Sans" w:cs="Segoe UI"/>
        </w:rPr>
        <w:t>ember</w:t>
      </w:r>
      <w:r w:rsidR="0023234E" w:rsidRPr="005576E4">
        <w:rPr>
          <w:rFonts w:ascii="Public Sans" w:hAnsi="Public Sans" w:cs="Segoe UI"/>
        </w:rPr>
        <w:t xml:space="preserve"> 202</w:t>
      </w:r>
      <w:r w:rsidR="00421E37">
        <w:rPr>
          <w:rFonts w:ascii="Public Sans" w:hAnsi="Public Sans" w:cs="Segoe UI"/>
        </w:rPr>
        <w:t>2</w:t>
      </w:r>
      <w:r w:rsidR="0023234E" w:rsidRPr="005576E4">
        <w:rPr>
          <w:rFonts w:ascii="Public Sans" w:hAnsi="Public Sans" w:cs="Segoe UI"/>
        </w:rPr>
        <w:t xml:space="preserve"> related to people aged </w:t>
      </w:r>
      <w:r w:rsidR="00992DE2">
        <w:rPr>
          <w:rFonts w:ascii="Public Sans" w:hAnsi="Public Sans" w:cs="Segoe UI"/>
        </w:rPr>
        <w:t>80</w:t>
      </w:r>
      <w:r w:rsidR="0066276A" w:rsidRPr="005576E4">
        <w:rPr>
          <w:rFonts w:ascii="Public Sans" w:hAnsi="Public Sans" w:cs="Segoe UI"/>
        </w:rPr>
        <w:t>-</w:t>
      </w:r>
      <w:r w:rsidR="00992DE2">
        <w:rPr>
          <w:rFonts w:ascii="Public Sans" w:hAnsi="Public Sans" w:cs="Segoe UI"/>
        </w:rPr>
        <w:t>84</w:t>
      </w:r>
      <w:r w:rsidR="0023234E" w:rsidRPr="005576E4">
        <w:rPr>
          <w:rFonts w:ascii="Public Sans" w:hAnsi="Public Sans" w:cs="Segoe UI"/>
        </w:rPr>
        <w:t xml:space="preserve"> years</w:t>
      </w:r>
      <w:r w:rsidR="00DD299A" w:rsidRPr="005576E4">
        <w:rPr>
          <w:rFonts w:ascii="Public Sans" w:hAnsi="Public Sans" w:cs="Segoe UI"/>
        </w:rPr>
        <w:t xml:space="preserve"> (</w:t>
      </w:r>
      <w:r w:rsidR="00421E37">
        <w:rPr>
          <w:rFonts w:ascii="Public Sans" w:hAnsi="Public Sans" w:cs="Segoe UI"/>
        </w:rPr>
        <w:t>1</w:t>
      </w:r>
      <w:r w:rsidR="00E369DF">
        <w:rPr>
          <w:rFonts w:ascii="Public Sans" w:hAnsi="Public Sans" w:cs="Segoe UI"/>
        </w:rPr>
        <w:t>8</w:t>
      </w:r>
      <w:r w:rsidR="00421E37">
        <w:rPr>
          <w:rFonts w:ascii="Public Sans" w:hAnsi="Public Sans" w:cs="Segoe UI"/>
        </w:rPr>
        <w:t>.</w:t>
      </w:r>
      <w:r w:rsidR="00E369DF">
        <w:rPr>
          <w:rFonts w:ascii="Public Sans" w:hAnsi="Public Sans" w:cs="Segoe UI"/>
        </w:rPr>
        <w:t>9</w:t>
      </w:r>
      <w:r w:rsidR="00DD299A" w:rsidRPr="005576E4">
        <w:rPr>
          <w:rFonts w:ascii="Public Sans" w:hAnsi="Public Sans" w:cs="Segoe UI"/>
        </w:rPr>
        <w:t>%)</w:t>
      </w:r>
      <w:r w:rsidR="0023234E" w:rsidRPr="005576E4">
        <w:rPr>
          <w:rFonts w:ascii="Public Sans" w:hAnsi="Public Sans" w:cs="Segoe UI"/>
        </w:rPr>
        <w:t xml:space="preserve">. </w:t>
      </w:r>
    </w:p>
    <w:p w:rsidR="003D0614" w:rsidRDefault="003D0614" w:rsidP="003D0614">
      <w:pPr>
        <w:spacing w:after="0" w:line="240" w:lineRule="auto"/>
        <w:rPr>
          <w:rFonts w:ascii="Public Sans" w:hAnsi="Public Sans" w:cs="Segoe UI"/>
        </w:rPr>
      </w:pPr>
    </w:p>
    <w:p w:rsidR="00223CE4" w:rsidRDefault="002C1CA1" w:rsidP="003D0614">
      <w:pPr>
        <w:spacing w:after="0" w:line="240" w:lineRule="auto"/>
        <w:rPr>
          <w:rFonts w:ascii="Public Sans" w:hAnsi="Public Sans" w:cs="Segoe UI"/>
        </w:rPr>
      </w:pPr>
      <w:r>
        <w:rPr>
          <w:rFonts w:ascii="Public Sans" w:hAnsi="Public Sans" w:cs="Segoe UI"/>
        </w:rPr>
        <w:t>Consistent with reports since the start of the ADC, th</w:t>
      </w:r>
      <w:r w:rsidR="00644E3D" w:rsidRPr="005576E4">
        <w:rPr>
          <w:rFonts w:ascii="Public Sans" w:hAnsi="Public Sans" w:cs="Segoe UI"/>
        </w:rPr>
        <w:t xml:space="preserve">e largest proportion of </w:t>
      </w:r>
      <w:r w:rsidR="00DD299A" w:rsidRPr="005576E4">
        <w:rPr>
          <w:rFonts w:ascii="Public Sans" w:hAnsi="Public Sans" w:cs="Segoe UI"/>
        </w:rPr>
        <w:t xml:space="preserve">the </w:t>
      </w:r>
      <w:r w:rsidR="00C103A6" w:rsidRPr="005576E4">
        <w:rPr>
          <w:rFonts w:ascii="Public Sans" w:hAnsi="Public Sans" w:cs="Segoe UI"/>
        </w:rPr>
        <w:t>2</w:t>
      </w:r>
      <w:r>
        <w:rPr>
          <w:rFonts w:ascii="Public Sans" w:hAnsi="Public Sans" w:cs="Segoe UI"/>
        </w:rPr>
        <w:t>27</w:t>
      </w:r>
      <w:r w:rsidR="00DD299A" w:rsidRPr="005576E4">
        <w:rPr>
          <w:rFonts w:ascii="Public Sans" w:hAnsi="Public Sans" w:cs="Segoe UI"/>
        </w:rPr>
        <w:t xml:space="preserve"> </w:t>
      </w:r>
      <w:r w:rsidR="00644E3D" w:rsidRPr="005576E4">
        <w:rPr>
          <w:rFonts w:ascii="Public Sans" w:hAnsi="Public Sans" w:cs="Segoe UI"/>
        </w:rPr>
        <w:t xml:space="preserve">reports </w:t>
      </w:r>
      <w:r w:rsidR="00DD299A" w:rsidRPr="005576E4">
        <w:rPr>
          <w:rFonts w:ascii="Public Sans" w:hAnsi="Public Sans" w:cs="Segoe UI"/>
        </w:rPr>
        <w:t xml:space="preserve">about adults with disability </w:t>
      </w:r>
      <w:r w:rsidR="00644E3D" w:rsidRPr="005576E4">
        <w:rPr>
          <w:rFonts w:ascii="Public Sans" w:hAnsi="Public Sans" w:cs="Segoe UI"/>
        </w:rPr>
        <w:t xml:space="preserve">related to people aged </w:t>
      </w:r>
      <w:r w:rsidR="00C103A6" w:rsidRPr="005576E4">
        <w:rPr>
          <w:rFonts w:ascii="Public Sans" w:hAnsi="Public Sans" w:cs="Segoe UI"/>
        </w:rPr>
        <w:t>18-24 years (</w:t>
      </w:r>
      <w:r w:rsidR="005558B6">
        <w:rPr>
          <w:rFonts w:ascii="Public Sans" w:hAnsi="Public Sans" w:cs="Segoe UI"/>
        </w:rPr>
        <w:t>1</w:t>
      </w:r>
      <w:r>
        <w:rPr>
          <w:rFonts w:ascii="Public Sans" w:hAnsi="Public Sans" w:cs="Segoe UI"/>
        </w:rPr>
        <w:t>9.</w:t>
      </w:r>
      <w:r w:rsidR="005558B6">
        <w:rPr>
          <w:rFonts w:ascii="Public Sans" w:hAnsi="Public Sans" w:cs="Segoe UI"/>
        </w:rPr>
        <w:t>8</w:t>
      </w:r>
      <w:r w:rsidR="00707AF4">
        <w:rPr>
          <w:rFonts w:ascii="Public Sans" w:hAnsi="Public Sans" w:cs="Segoe UI"/>
        </w:rPr>
        <w:t>%</w:t>
      </w:r>
      <w:r w:rsidR="00C103A6" w:rsidRPr="005576E4">
        <w:rPr>
          <w:rFonts w:ascii="Public Sans" w:hAnsi="Public Sans" w:cs="Segoe UI"/>
        </w:rPr>
        <w:t>)</w:t>
      </w:r>
      <w:r w:rsidR="00644E3D" w:rsidRPr="005576E4">
        <w:rPr>
          <w:rFonts w:ascii="Public Sans" w:hAnsi="Public Sans" w:cs="Segoe UI"/>
        </w:rPr>
        <w:t xml:space="preserve">. </w:t>
      </w:r>
    </w:p>
    <w:p w:rsidR="00223CE4" w:rsidRPr="005576E4" w:rsidRDefault="00223CE4" w:rsidP="007A4BC6">
      <w:pPr>
        <w:spacing w:after="0" w:line="240" w:lineRule="auto"/>
        <w:rPr>
          <w:rFonts w:ascii="Public Sans" w:hAnsi="Public Sans" w:cs="Segoe UI"/>
          <w:b/>
          <w:sz w:val="20"/>
        </w:rPr>
      </w:pPr>
    </w:p>
    <w:p w:rsidR="00A514ED" w:rsidRDefault="004A4FD0" w:rsidP="004A4FD0">
      <w:pPr>
        <w:spacing w:after="0" w:line="240" w:lineRule="auto"/>
        <w:rPr>
          <w:rFonts w:ascii="Public Sans" w:hAnsi="Public Sans" w:cs="Segoe UI"/>
          <w:b/>
          <w:sz w:val="18"/>
        </w:rPr>
      </w:pPr>
      <w:r w:rsidRPr="00707AF4">
        <w:rPr>
          <w:rFonts w:ascii="Public Sans" w:hAnsi="Public Sans" w:cs="Segoe UI"/>
          <w:b/>
          <w:sz w:val="18"/>
        </w:rPr>
        <w:t>Figure</w:t>
      </w:r>
      <w:r w:rsidR="008E3810" w:rsidRPr="00707AF4">
        <w:rPr>
          <w:rFonts w:ascii="Public Sans" w:hAnsi="Public Sans" w:cs="Segoe UI"/>
          <w:b/>
          <w:sz w:val="18"/>
        </w:rPr>
        <w:t xml:space="preserve"> </w:t>
      </w:r>
      <w:r w:rsidR="00FB00DF" w:rsidRPr="00707AF4">
        <w:rPr>
          <w:rFonts w:ascii="Public Sans" w:hAnsi="Public Sans" w:cs="Segoe UI"/>
          <w:b/>
          <w:sz w:val="18"/>
        </w:rPr>
        <w:t>5</w:t>
      </w:r>
      <w:r w:rsidR="008E3810" w:rsidRPr="00707AF4">
        <w:rPr>
          <w:rFonts w:ascii="Public Sans" w:hAnsi="Public Sans" w:cs="Segoe UI"/>
          <w:b/>
          <w:sz w:val="18"/>
        </w:rPr>
        <w:t xml:space="preserve">: Age of </w:t>
      </w:r>
      <w:r w:rsidR="00613BBE" w:rsidRPr="00707AF4">
        <w:rPr>
          <w:rFonts w:ascii="Public Sans" w:hAnsi="Public Sans" w:cs="Segoe UI"/>
          <w:b/>
          <w:sz w:val="18"/>
        </w:rPr>
        <w:t>older people</w:t>
      </w:r>
      <w:r w:rsidR="008E3810" w:rsidRPr="00707AF4">
        <w:rPr>
          <w:rFonts w:ascii="Public Sans" w:hAnsi="Public Sans" w:cs="Segoe UI"/>
          <w:b/>
          <w:sz w:val="18"/>
        </w:rPr>
        <w:t xml:space="preserve"> the subject of a report to the ADC, </w:t>
      </w:r>
      <w:r w:rsidR="002C1CA1">
        <w:rPr>
          <w:rFonts w:ascii="Public Sans" w:hAnsi="Public Sans" w:cs="Segoe UI"/>
          <w:b/>
          <w:sz w:val="18"/>
        </w:rPr>
        <w:t>Oct</w:t>
      </w:r>
      <w:r w:rsidR="00707AF4">
        <w:rPr>
          <w:rFonts w:ascii="Public Sans" w:hAnsi="Public Sans" w:cs="Segoe UI"/>
          <w:b/>
          <w:sz w:val="18"/>
        </w:rPr>
        <w:t>-</w:t>
      </w:r>
      <w:r w:rsidR="002C1CA1">
        <w:rPr>
          <w:rFonts w:ascii="Public Sans" w:hAnsi="Public Sans" w:cs="Segoe UI"/>
          <w:b/>
          <w:sz w:val="18"/>
        </w:rPr>
        <w:t>Dec</w:t>
      </w:r>
      <w:r w:rsidR="0023234E" w:rsidRPr="00707AF4">
        <w:rPr>
          <w:rFonts w:ascii="Public Sans" w:hAnsi="Public Sans" w:cs="Segoe UI"/>
          <w:b/>
          <w:sz w:val="18"/>
        </w:rPr>
        <w:t xml:space="preserve"> 20</w:t>
      </w:r>
      <w:r w:rsidR="008E3810" w:rsidRPr="00707AF4">
        <w:rPr>
          <w:rFonts w:ascii="Public Sans" w:hAnsi="Public Sans" w:cs="Segoe UI"/>
          <w:b/>
          <w:sz w:val="18"/>
        </w:rPr>
        <w:t>2</w:t>
      </w:r>
      <w:r w:rsidR="00421E37">
        <w:rPr>
          <w:rFonts w:ascii="Public Sans" w:hAnsi="Public Sans" w:cs="Segoe UI"/>
          <w:b/>
          <w:sz w:val="18"/>
        </w:rPr>
        <w:t>2</w:t>
      </w:r>
    </w:p>
    <w:p w:rsidR="00421E37" w:rsidRPr="00707AF4" w:rsidRDefault="002C1CA1" w:rsidP="004A4FD0">
      <w:pPr>
        <w:spacing w:after="0" w:line="240" w:lineRule="auto"/>
        <w:rPr>
          <w:rFonts w:ascii="Public Sans" w:hAnsi="Public Sans" w:cs="Segoe UI"/>
          <w:b/>
          <w:sz w:val="18"/>
        </w:rPr>
      </w:pPr>
      <w:r>
        <w:rPr>
          <w:noProof/>
          <w:lang w:eastAsia="en-AU"/>
        </w:rPr>
        <w:drawing>
          <wp:inline distT="0" distB="0" distL="0" distR="0" wp14:anchorId="302DDE4B" wp14:editId="55E50C0A">
            <wp:extent cx="6124575" cy="21431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014CA" w:rsidRPr="005576E4" w:rsidRDefault="008014CA" w:rsidP="004A4FD0">
      <w:pPr>
        <w:spacing w:after="0" w:line="240" w:lineRule="auto"/>
        <w:rPr>
          <w:rFonts w:ascii="Public Sans" w:hAnsi="Public Sans" w:cs="Segoe UI"/>
          <w:b/>
          <w:sz w:val="20"/>
        </w:rPr>
      </w:pPr>
    </w:p>
    <w:p w:rsidR="00A514ED" w:rsidRDefault="004A4FD0" w:rsidP="004A4FD0">
      <w:pPr>
        <w:spacing w:after="0" w:line="240" w:lineRule="auto"/>
        <w:rPr>
          <w:rFonts w:ascii="Public Sans" w:hAnsi="Public Sans" w:cs="Segoe UI"/>
          <w:b/>
          <w:sz w:val="18"/>
        </w:rPr>
      </w:pPr>
      <w:r w:rsidRPr="00707AF4">
        <w:rPr>
          <w:rFonts w:ascii="Public Sans" w:hAnsi="Public Sans" w:cs="Segoe UI"/>
          <w:b/>
          <w:sz w:val="18"/>
        </w:rPr>
        <w:t xml:space="preserve">Figure </w:t>
      </w:r>
      <w:r w:rsidR="00FB00DF" w:rsidRPr="00707AF4">
        <w:rPr>
          <w:rFonts w:ascii="Public Sans" w:hAnsi="Public Sans" w:cs="Segoe UI"/>
          <w:b/>
          <w:sz w:val="18"/>
        </w:rPr>
        <w:t>6</w:t>
      </w:r>
      <w:r w:rsidRPr="00707AF4">
        <w:rPr>
          <w:rFonts w:ascii="Public Sans" w:hAnsi="Public Sans" w:cs="Segoe UI"/>
          <w:b/>
          <w:sz w:val="18"/>
        </w:rPr>
        <w:t xml:space="preserve">: Age of adults with disability the subject of a report to the ADC, </w:t>
      </w:r>
      <w:r w:rsidR="002C1CA1">
        <w:rPr>
          <w:rFonts w:ascii="Public Sans" w:hAnsi="Public Sans" w:cs="Segoe UI"/>
          <w:b/>
          <w:sz w:val="18"/>
        </w:rPr>
        <w:t>Oct</w:t>
      </w:r>
      <w:r w:rsidR="00707AF4" w:rsidRPr="00707AF4">
        <w:rPr>
          <w:rFonts w:ascii="Public Sans" w:hAnsi="Public Sans" w:cs="Segoe UI"/>
          <w:b/>
          <w:sz w:val="18"/>
        </w:rPr>
        <w:t>-</w:t>
      </w:r>
      <w:r w:rsidR="002C1CA1">
        <w:rPr>
          <w:rFonts w:ascii="Public Sans" w:hAnsi="Public Sans" w:cs="Segoe UI"/>
          <w:b/>
          <w:sz w:val="18"/>
        </w:rPr>
        <w:t>Dec</w:t>
      </w:r>
      <w:r w:rsidR="00143537" w:rsidRPr="00707AF4">
        <w:rPr>
          <w:rFonts w:ascii="Public Sans" w:hAnsi="Public Sans" w:cs="Segoe UI"/>
          <w:b/>
          <w:sz w:val="18"/>
        </w:rPr>
        <w:t xml:space="preserve"> </w:t>
      </w:r>
      <w:r w:rsidRPr="00707AF4">
        <w:rPr>
          <w:rFonts w:ascii="Public Sans" w:hAnsi="Public Sans" w:cs="Segoe UI"/>
          <w:b/>
          <w:sz w:val="18"/>
        </w:rPr>
        <w:t>202</w:t>
      </w:r>
      <w:r w:rsidR="009431E0">
        <w:rPr>
          <w:rFonts w:ascii="Public Sans" w:hAnsi="Public Sans" w:cs="Segoe UI"/>
          <w:b/>
          <w:sz w:val="18"/>
        </w:rPr>
        <w:t>2</w:t>
      </w:r>
    </w:p>
    <w:p w:rsidR="009431E0" w:rsidRDefault="002C1CA1" w:rsidP="004A4FD0">
      <w:pPr>
        <w:spacing w:after="0" w:line="240" w:lineRule="auto"/>
        <w:rPr>
          <w:rFonts w:ascii="Public Sans" w:hAnsi="Public Sans" w:cs="Segoe UI"/>
          <w:b/>
          <w:sz w:val="18"/>
        </w:rPr>
      </w:pPr>
      <w:r>
        <w:rPr>
          <w:noProof/>
          <w:lang w:eastAsia="en-AU"/>
        </w:rPr>
        <w:drawing>
          <wp:inline distT="0" distB="0" distL="0" distR="0" wp14:anchorId="22FA8BC9" wp14:editId="7C5242B9">
            <wp:extent cx="6124575" cy="212407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53901" w:rsidRPr="005576E4" w:rsidRDefault="00253901" w:rsidP="004A4FD0">
      <w:pPr>
        <w:spacing w:after="0" w:line="240" w:lineRule="auto"/>
        <w:rPr>
          <w:rFonts w:ascii="Public Sans" w:hAnsi="Public Sans" w:cs="Segoe UI"/>
          <w:b/>
          <w:sz w:val="20"/>
        </w:rPr>
      </w:pPr>
    </w:p>
    <w:p w:rsidR="00A7657E" w:rsidRPr="000E3DCE" w:rsidRDefault="00E134D4" w:rsidP="007A4BC6">
      <w:pPr>
        <w:pStyle w:val="Heading2"/>
        <w:spacing w:before="0"/>
        <w:rPr>
          <w:rFonts w:ascii="Public Sans" w:eastAsia="Helvetica" w:hAnsi="Public Sans"/>
          <w:b/>
          <w:color w:val="auto"/>
        </w:rPr>
      </w:pPr>
      <w:r w:rsidRPr="000E3DCE">
        <w:rPr>
          <w:rFonts w:ascii="Public Sans" w:eastAsia="Helvetica" w:hAnsi="Public Sans"/>
          <w:b/>
          <w:color w:val="auto"/>
        </w:rPr>
        <w:t xml:space="preserve">2.6 </w:t>
      </w:r>
      <w:r w:rsidR="00631A3A" w:rsidRPr="000E3DCE">
        <w:rPr>
          <w:rFonts w:ascii="Public Sans" w:eastAsia="Helvetica" w:hAnsi="Public Sans"/>
          <w:b/>
          <w:color w:val="auto"/>
        </w:rPr>
        <w:tab/>
      </w:r>
      <w:r w:rsidR="00A7657E" w:rsidRPr="00E1269E">
        <w:rPr>
          <w:rFonts w:ascii="Public Sans" w:eastAsia="Helvetica" w:hAnsi="Public Sans"/>
          <w:b/>
          <w:color w:val="auto"/>
        </w:rPr>
        <w:t>Location</w:t>
      </w:r>
      <w:r w:rsidR="009F035E" w:rsidRPr="00E1269E">
        <w:rPr>
          <w:rFonts w:ascii="Public Sans" w:eastAsia="Helvetica" w:hAnsi="Public Sans"/>
          <w:b/>
          <w:color w:val="auto"/>
        </w:rPr>
        <w:t xml:space="preserve"> of person</w:t>
      </w:r>
    </w:p>
    <w:p w:rsidR="00801BB6" w:rsidRPr="005576E4" w:rsidRDefault="00936332" w:rsidP="00D24FBD">
      <w:pPr>
        <w:spacing w:before="120" w:after="0" w:line="240" w:lineRule="auto"/>
        <w:rPr>
          <w:rFonts w:ascii="Public Sans" w:hAnsi="Public Sans" w:cs="Segoe UI"/>
        </w:rPr>
      </w:pPr>
      <w:r w:rsidRPr="005576E4">
        <w:rPr>
          <w:rFonts w:ascii="Public Sans" w:hAnsi="Public Sans" w:cs="Segoe UI"/>
        </w:rPr>
        <w:t xml:space="preserve">Of the </w:t>
      </w:r>
      <w:r w:rsidR="00F80470">
        <w:rPr>
          <w:rFonts w:ascii="Public Sans" w:hAnsi="Public Sans" w:cs="Segoe UI"/>
        </w:rPr>
        <w:t>595</w:t>
      </w:r>
      <w:r w:rsidRPr="005576E4">
        <w:rPr>
          <w:rFonts w:ascii="Public Sans" w:hAnsi="Public Sans" w:cs="Segoe UI"/>
        </w:rPr>
        <w:t xml:space="preserve"> reports </w:t>
      </w:r>
      <w:r w:rsidR="001B1AAB" w:rsidRPr="005576E4">
        <w:rPr>
          <w:rFonts w:ascii="Public Sans" w:hAnsi="Public Sans" w:cs="Segoe UI"/>
        </w:rPr>
        <w:t>to the ADC</w:t>
      </w:r>
      <w:r w:rsidR="00C16F1E" w:rsidRPr="005576E4">
        <w:rPr>
          <w:rFonts w:ascii="Public Sans" w:hAnsi="Public Sans" w:cs="Segoe UI"/>
        </w:rPr>
        <w:t xml:space="preserve"> in </w:t>
      </w:r>
      <w:r w:rsidR="00F80470">
        <w:rPr>
          <w:rFonts w:ascii="Public Sans" w:hAnsi="Public Sans" w:cs="Segoe UI"/>
        </w:rPr>
        <w:t>October</w:t>
      </w:r>
      <w:r w:rsidR="000E3DCE">
        <w:rPr>
          <w:rFonts w:ascii="Public Sans" w:hAnsi="Public Sans" w:cs="Segoe UI"/>
        </w:rPr>
        <w:t xml:space="preserve"> – </w:t>
      </w:r>
      <w:r w:rsidR="00F80470">
        <w:rPr>
          <w:rFonts w:ascii="Public Sans" w:hAnsi="Public Sans" w:cs="Segoe UI"/>
        </w:rPr>
        <w:t>Dec</w:t>
      </w:r>
      <w:r w:rsidR="005A15C5">
        <w:rPr>
          <w:rFonts w:ascii="Public Sans" w:hAnsi="Public Sans" w:cs="Segoe UI"/>
        </w:rPr>
        <w:t>ember</w:t>
      </w:r>
      <w:r w:rsidR="00C16F1E" w:rsidRPr="005576E4">
        <w:rPr>
          <w:rFonts w:ascii="Public Sans" w:hAnsi="Public Sans" w:cs="Segoe UI"/>
        </w:rPr>
        <w:t xml:space="preserve"> 202</w:t>
      </w:r>
      <w:r w:rsidR="002A564E">
        <w:rPr>
          <w:rFonts w:ascii="Public Sans" w:hAnsi="Public Sans" w:cs="Segoe UI"/>
        </w:rPr>
        <w:t>2</w:t>
      </w:r>
      <w:r w:rsidR="001B1AAB" w:rsidRPr="005576E4">
        <w:rPr>
          <w:rFonts w:ascii="Public Sans" w:hAnsi="Public Sans" w:cs="Segoe UI"/>
        </w:rPr>
        <w:t xml:space="preserve"> </w:t>
      </w:r>
      <w:r w:rsidRPr="005576E4">
        <w:rPr>
          <w:rFonts w:ascii="Public Sans" w:hAnsi="Public Sans" w:cs="Segoe UI"/>
        </w:rPr>
        <w:t xml:space="preserve">in which the location of the person was known, </w:t>
      </w:r>
      <w:r w:rsidR="000E3DCE">
        <w:rPr>
          <w:rFonts w:ascii="Public Sans" w:hAnsi="Public Sans" w:cs="Segoe UI"/>
        </w:rPr>
        <w:t xml:space="preserve">regional </w:t>
      </w:r>
      <w:r w:rsidR="00C16F1E" w:rsidRPr="005576E4">
        <w:rPr>
          <w:rFonts w:ascii="Public Sans" w:hAnsi="Public Sans" w:cs="Segoe UI"/>
        </w:rPr>
        <w:t>NSW</w:t>
      </w:r>
      <w:r w:rsidR="00801BB6" w:rsidRPr="005576E4">
        <w:rPr>
          <w:rFonts w:ascii="Public Sans" w:hAnsi="Public Sans" w:cs="Segoe UI"/>
        </w:rPr>
        <w:t xml:space="preserve"> </w:t>
      </w:r>
      <w:r w:rsidRPr="005576E4">
        <w:rPr>
          <w:rFonts w:ascii="Public Sans" w:hAnsi="Public Sans" w:cs="Segoe UI"/>
        </w:rPr>
        <w:t>accounted fo</w:t>
      </w:r>
      <w:r w:rsidR="001B1AAB" w:rsidRPr="005576E4">
        <w:rPr>
          <w:rFonts w:ascii="Public Sans" w:hAnsi="Public Sans" w:cs="Segoe UI"/>
        </w:rPr>
        <w:t xml:space="preserve">r </w:t>
      </w:r>
      <w:r w:rsidR="006135A6" w:rsidRPr="005576E4">
        <w:rPr>
          <w:rFonts w:ascii="Public Sans" w:hAnsi="Public Sans" w:cs="Segoe UI"/>
        </w:rPr>
        <w:t xml:space="preserve">just </w:t>
      </w:r>
      <w:r w:rsidR="004B6977">
        <w:rPr>
          <w:rFonts w:ascii="Public Sans" w:hAnsi="Public Sans" w:cs="Segoe UI"/>
        </w:rPr>
        <w:t>over</w:t>
      </w:r>
      <w:r w:rsidR="00370E0A" w:rsidRPr="005576E4">
        <w:rPr>
          <w:rFonts w:ascii="Public Sans" w:hAnsi="Public Sans" w:cs="Segoe UI"/>
        </w:rPr>
        <w:t xml:space="preserve"> </w:t>
      </w:r>
      <w:r w:rsidR="001B1AAB" w:rsidRPr="005576E4">
        <w:rPr>
          <w:rFonts w:ascii="Public Sans" w:hAnsi="Public Sans" w:cs="Segoe UI"/>
        </w:rPr>
        <w:t>half of the reports</w:t>
      </w:r>
      <w:r w:rsidRPr="005576E4">
        <w:rPr>
          <w:rFonts w:ascii="Public Sans" w:hAnsi="Public Sans" w:cs="Segoe UI"/>
        </w:rPr>
        <w:t xml:space="preserve"> (</w:t>
      </w:r>
      <w:r w:rsidR="002A564E">
        <w:rPr>
          <w:rFonts w:ascii="Public Sans" w:hAnsi="Public Sans" w:cs="Segoe UI"/>
        </w:rPr>
        <w:t>3</w:t>
      </w:r>
      <w:r w:rsidR="00F80470">
        <w:rPr>
          <w:rFonts w:ascii="Public Sans" w:hAnsi="Public Sans" w:cs="Segoe UI"/>
        </w:rPr>
        <w:t>1</w:t>
      </w:r>
      <w:r w:rsidR="002A564E">
        <w:rPr>
          <w:rFonts w:ascii="Public Sans" w:hAnsi="Public Sans" w:cs="Segoe UI"/>
        </w:rPr>
        <w:t>7</w:t>
      </w:r>
      <w:r w:rsidRPr="005576E4">
        <w:rPr>
          <w:rFonts w:ascii="Public Sans" w:hAnsi="Public Sans" w:cs="Segoe UI"/>
        </w:rPr>
        <w:t xml:space="preserve">; </w:t>
      </w:r>
      <w:r w:rsidR="002A564E">
        <w:rPr>
          <w:rFonts w:ascii="Public Sans" w:hAnsi="Public Sans" w:cs="Segoe UI"/>
        </w:rPr>
        <w:t>5</w:t>
      </w:r>
      <w:r w:rsidR="00F80470">
        <w:rPr>
          <w:rFonts w:ascii="Public Sans" w:hAnsi="Public Sans" w:cs="Segoe UI"/>
        </w:rPr>
        <w:t>3</w:t>
      </w:r>
      <w:r w:rsidR="004B6977">
        <w:rPr>
          <w:rFonts w:ascii="Public Sans" w:hAnsi="Public Sans" w:cs="Segoe UI"/>
        </w:rPr>
        <w:t>.3</w:t>
      </w:r>
      <w:r w:rsidRPr="005576E4">
        <w:rPr>
          <w:rFonts w:ascii="Public Sans" w:hAnsi="Public Sans" w:cs="Segoe UI"/>
        </w:rPr>
        <w:t xml:space="preserve">%). </w:t>
      </w:r>
      <w:r w:rsidR="001C2806" w:rsidRPr="005576E4">
        <w:rPr>
          <w:rFonts w:ascii="Public Sans" w:hAnsi="Public Sans" w:cs="Segoe UI"/>
        </w:rPr>
        <w:t xml:space="preserve">Hunter, </w:t>
      </w:r>
      <w:r w:rsidRPr="005576E4">
        <w:rPr>
          <w:rFonts w:ascii="Public Sans" w:hAnsi="Public Sans" w:cs="Segoe UI"/>
        </w:rPr>
        <w:t>Illawarra Shoalha</w:t>
      </w:r>
      <w:r w:rsidR="00983CC4" w:rsidRPr="005576E4">
        <w:rPr>
          <w:rFonts w:ascii="Public Sans" w:hAnsi="Public Sans" w:cs="Segoe UI"/>
        </w:rPr>
        <w:t>ven</w:t>
      </w:r>
      <w:r w:rsidR="006135A6" w:rsidRPr="005576E4">
        <w:rPr>
          <w:rFonts w:ascii="Public Sans" w:hAnsi="Public Sans" w:cs="Segoe UI"/>
        </w:rPr>
        <w:t xml:space="preserve">, </w:t>
      </w:r>
      <w:r w:rsidR="00983CC4" w:rsidRPr="005576E4">
        <w:rPr>
          <w:rFonts w:ascii="Public Sans" w:hAnsi="Public Sans" w:cs="Segoe UI"/>
        </w:rPr>
        <w:t xml:space="preserve">and </w:t>
      </w:r>
      <w:r w:rsidR="00911E6B">
        <w:rPr>
          <w:rFonts w:ascii="Public Sans" w:hAnsi="Public Sans" w:cs="Segoe UI"/>
        </w:rPr>
        <w:t>Northern NSW</w:t>
      </w:r>
      <w:r w:rsidR="006135A6" w:rsidRPr="005576E4">
        <w:rPr>
          <w:rFonts w:ascii="Public Sans" w:hAnsi="Public Sans" w:cs="Segoe UI"/>
        </w:rPr>
        <w:t xml:space="preserve"> </w:t>
      </w:r>
      <w:r w:rsidR="004B6977">
        <w:rPr>
          <w:rFonts w:ascii="Public Sans" w:hAnsi="Public Sans" w:cs="Segoe UI"/>
        </w:rPr>
        <w:t>were the most common regional areas</w:t>
      </w:r>
      <w:r w:rsidRPr="005576E4">
        <w:rPr>
          <w:rFonts w:ascii="Public Sans" w:hAnsi="Public Sans" w:cs="Segoe UI"/>
        </w:rPr>
        <w:t>.</w:t>
      </w:r>
      <w:r w:rsidR="00983CC4" w:rsidRPr="005576E4">
        <w:rPr>
          <w:rFonts w:ascii="Public Sans" w:hAnsi="Public Sans" w:cs="Segoe UI"/>
        </w:rPr>
        <w:t xml:space="preserve"> </w:t>
      </w:r>
    </w:p>
    <w:p w:rsidR="00253901" w:rsidRPr="005576E4" w:rsidRDefault="00253901" w:rsidP="00230D97">
      <w:pPr>
        <w:spacing w:after="0" w:line="240" w:lineRule="auto"/>
        <w:rPr>
          <w:rFonts w:ascii="Public Sans" w:hAnsi="Public Sans" w:cs="Segoe UI"/>
        </w:rPr>
      </w:pPr>
    </w:p>
    <w:p w:rsidR="009F035E" w:rsidRDefault="004A4FD0" w:rsidP="007A4BC6">
      <w:pPr>
        <w:spacing w:after="0" w:line="240" w:lineRule="auto"/>
        <w:rPr>
          <w:rFonts w:ascii="Public Sans" w:hAnsi="Public Sans" w:cs="Segoe UI"/>
          <w:b/>
          <w:sz w:val="18"/>
        </w:rPr>
      </w:pPr>
      <w:r w:rsidRPr="00D24FBD">
        <w:rPr>
          <w:rFonts w:ascii="Public Sans" w:hAnsi="Public Sans" w:cs="Segoe UI"/>
          <w:b/>
          <w:sz w:val="18"/>
        </w:rPr>
        <w:t>Figure</w:t>
      </w:r>
      <w:r w:rsidR="009F035E" w:rsidRPr="00D24FBD">
        <w:rPr>
          <w:rFonts w:ascii="Public Sans" w:hAnsi="Public Sans" w:cs="Segoe UI"/>
          <w:b/>
          <w:sz w:val="18"/>
        </w:rPr>
        <w:t xml:space="preserve"> </w:t>
      </w:r>
      <w:r w:rsidR="00FB00DF" w:rsidRPr="00D24FBD">
        <w:rPr>
          <w:rFonts w:ascii="Public Sans" w:hAnsi="Public Sans" w:cs="Segoe UI"/>
          <w:b/>
          <w:sz w:val="18"/>
        </w:rPr>
        <w:t>7</w:t>
      </w:r>
      <w:r w:rsidR="009F035E" w:rsidRPr="00D24FBD">
        <w:rPr>
          <w:rFonts w:ascii="Public Sans" w:hAnsi="Public Sans" w:cs="Segoe UI"/>
          <w:b/>
          <w:sz w:val="18"/>
        </w:rPr>
        <w:t xml:space="preserve">: </w:t>
      </w:r>
      <w:r w:rsidR="008E3810" w:rsidRPr="00D24FBD">
        <w:rPr>
          <w:rFonts w:ascii="Public Sans" w:hAnsi="Public Sans" w:cs="Segoe UI"/>
          <w:b/>
          <w:sz w:val="18"/>
        </w:rPr>
        <w:t>Location of person the subject of a r</w:t>
      </w:r>
      <w:r w:rsidR="009F035E" w:rsidRPr="00D24FBD">
        <w:rPr>
          <w:rFonts w:ascii="Public Sans" w:hAnsi="Public Sans" w:cs="Segoe UI"/>
          <w:b/>
          <w:sz w:val="18"/>
        </w:rPr>
        <w:t xml:space="preserve">eport to the ADC by NSW region, </w:t>
      </w:r>
      <w:r w:rsidR="00E31593">
        <w:rPr>
          <w:rFonts w:ascii="Public Sans" w:hAnsi="Public Sans" w:cs="Segoe UI"/>
          <w:b/>
          <w:sz w:val="18"/>
        </w:rPr>
        <w:t>Oct</w:t>
      </w:r>
      <w:r w:rsidR="00D24FBD">
        <w:rPr>
          <w:rFonts w:ascii="Public Sans" w:hAnsi="Public Sans" w:cs="Segoe UI"/>
          <w:b/>
          <w:sz w:val="18"/>
        </w:rPr>
        <w:t>-</w:t>
      </w:r>
      <w:r w:rsidR="00E31593">
        <w:rPr>
          <w:rFonts w:ascii="Public Sans" w:hAnsi="Public Sans" w:cs="Segoe UI"/>
          <w:b/>
          <w:sz w:val="18"/>
        </w:rPr>
        <w:t>Dec</w:t>
      </w:r>
      <w:r w:rsidR="00991047" w:rsidRPr="00D24FBD">
        <w:rPr>
          <w:rFonts w:ascii="Public Sans" w:hAnsi="Public Sans" w:cs="Segoe UI"/>
          <w:b/>
          <w:sz w:val="18"/>
        </w:rPr>
        <w:t xml:space="preserve"> 202</w:t>
      </w:r>
      <w:r w:rsidR="002A564E">
        <w:rPr>
          <w:rFonts w:ascii="Public Sans" w:hAnsi="Public Sans" w:cs="Segoe UI"/>
          <w:b/>
          <w:sz w:val="18"/>
        </w:rPr>
        <w:t>2</w:t>
      </w:r>
    </w:p>
    <w:p w:rsidR="002A564E" w:rsidRDefault="00E1269E" w:rsidP="007A4BC6">
      <w:pPr>
        <w:spacing w:after="0" w:line="240" w:lineRule="auto"/>
        <w:rPr>
          <w:rFonts w:ascii="Public Sans" w:hAnsi="Public Sans" w:cs="Segoe UI"/>
          <w:b/>
          <w:sz w:val="18"/>
        </w:rPr>
      </w:pPr>
      <w:r>
        <w:rPr>
          <w:noProof/>
          <w:lang w:eastAsia="en-AU"/>
        </w:rPr>
        <w:drawing>
          <wp:inline distT="0" distB="0" distL="0" distR="0" wp14:anchorId="45414548" wp14:editId="02677294">
            <wp:extent cx="6067425" cy="2743200"/>
            <wp:effectExtent l="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A564E" w:rsidRDefault="002A564E" w:rsidP="007A4BC6">
      <w:pPr>
        <w:spacing w:after="0" w:line="240" w:lineRule="auto"/>
        <w:rPr>
          <w:rFonts w:ascii="Public Sans" w:hAnsi="Public Sans" w:cs="Segoe UI"/>
          <w:b/>
          <w:sz w:val="18"/>
        </w:rPr>
      </w:pPr>
    </w:p>
    <w:p w:rsidR="002A564E" w:rsidRDefault="002A564E" w:rsidP="007A4BC6">
      <w:pPr>
        <w:spacing w:after="0" w:line="240" w:lineRule="auto"/>
        <w:rPr>
          <w:rFonts w:ascii="Public Sans" w:hAnsi="Public Sans" w:cs="Segoe UI"/>
          <w:b/>
          <w:sz w:val="18"/>
        </w:rPr>
      </w:pPr>
    </w:p>
    <w:p w:rsidR="002A564E" w:rsidRPr="00D24FBD" w:rsidRDefault="002A564E" w:rsidP="007A4BC6">
      <w:pPr>
        <w:spacing w:after="0" w:line="240" w:lineRule="auto"/>
        <w:rPr>
          <w:rFonts w:ascii="Public Sans" w:hAnsi="Public Sans" w:cs="Segoe UI"/>
          <w:b/>
          <w:sz w:val="18"/>
        </w:rPr>
      </w:pPr>
    </w:p>
    <w:p w:rsidR="006C15AD" w:rsidRPr="005576E4" w:rsidRDefault="006135A6" w:rsidP="007A4BC6">
      <w:pPr>
        <w:spacing w:after="0" w:line="240" w:lineRule="auto"/>
        <w:rPr>
          <w:rFonts w:ascii="Public Sans" w:hAnsi="Public Sans"/>
          <w:noProof/>
          <w:lang w:eastAsia="en-AU"/>
        </w:rPr>
      </w:pPr>
      <w:r w:rsidRPr="005576E4">
        <w:rPr>
          <w:rFonts w:ascii="Public Sans" w:hAnsi="Public Sans"/>
        </w:rPr>
        <w:lastRenderedPageBreak/>
        <w:t xml:space="preserve">At a </w:t>
      </w:r>
      <w:r w:rsidRPr="00A63C78">
        <w:rPr>
          <w:rFonts w:ascii="Public Sans" w:hAnsi="Public Sans"/>
        </w:rPr>
        <w:t>Local Government Area</w:t>
      </w:r>
      <w:r w:rsidRPr="005576E4">
        <w:rPr>
          <w:rFonts w:ascii="Public Sans" w:hAnsi="Public Sans"/>
        </w:rPr>
        <w:t xml:space="preserve"> (LGA) level, the adults who were the subjects of a report to the ADC in </w:t>
      </w:r>
      <w:r w:rsidR="00904AE1">
        <w:rPr>
          <w:rFonts w:ascii="Public Sans" w:hAnsi="Public Sans"/>
        </w:rPr>
        <w:t>October</w:t>
      </w:r>
      <w:r w:rsidRPr="005576E4">
        <w:rPr>
          <w:rFonts w:ascii="Public Sans" w:hAnsi="Public Sans"/>
        </w:rPr>
        <w:t xml:space="preserve"> – </w:t>
      </w:r>
      <w:r w:rsidR="00904AE1">
        <w:rPr>
          <w:rFonts w:ascii="Public Sans" w:hAnsi="Public Sans"/>
        </w:rPr>
        <w:t>Dec</w:t>
      </w:r>
      <w:r w:rsidR="00C064D0">
        <w:rPr>
          <w:rFonts w:ascii="Public Sans" w:hAnsi="Public Sans"/>
        </w:rPr>
        <w:t>ember</w:t>
      </w:r>
      <w:r w:rsidRPr="005576E4">
        <w:rPr>
          <w:rFonts w:ascii="Public Sans" w:hAnsi="Public Sans"/>
        </w:rPr>
        <w:t xml:space="preserve"> 202</w:t>
      </w:r>
      <w:r w:rsidR="00410E3F">
        <w:rPr>
          <w:rFonts w:ascii="Public Sans" w:hAnsi="Public Sans"/>
        </w:rPr>
        <w:t>2</w:t>
      </w:r>
      <w:r w:rsidRPr="005576E4">
        <w:rPr>
          <w:rFonts w:ascii="Public Sans" w:hAnsi="Public Sans"/>
        </w:rPr>
        <w:t xml:space="preserve"> most commonly lived in the </w:t>
      </w:r>
      <w:r w:rsidR="00904AE1">
        <w:rPr>
          <w:rFonts w:ascii="Public Sans" w:hAnsi="Public Sans"/>
        </w:rPr>
        <w:t xml:space="preserve">Central Coast, </w:t>
      </w:r>
      <w:r w:rsidR="004B5BC7">
        <w:rPr>
          <w:rFonts w:ascii="Public Sans" w:hAnsi="Public Sans"/>
        </w:rPr>
        <w:t xml:space="preserve">Blacktown, </w:t>
      </w:r>
      <w:r w:rsidR="000476AE">
        <w:rPr>
          <w:rFonts w:ascii="Public Sans" w:hAnsi="Public Sans"/>
        </w:rPr>
        <w:t xml:space="preserve">and </w:t>
      </w:r>
      <w:r w:rsidR="00904AE1">
        <w:rPr>
          <w:rFonts w:ascii="Public Sans" w:hAnsi="Public Sans"/>
        </w:rPr>
        <w:t>Lake</w:t>
      </w:r>
      <w:r w:rsidR="000476AE">
        <w:rPr>
          <w:rFonts w:ascii="Public Sans" w:hAnsi="Public Sans"/>
        </w:rPr>
        <w:t xml:space="preserve"> </w:t>
      </w:r>
      <w:r w:rsidR="00904AE1">
        <w:rPr>
          <w:rFonts w:ascii="Public Sans" w:hAnsi="Public Sans"/>
        </w:rPr>
        <w:t>Macquarie</w:t>
      </w:r>
      <w:r w:rsidRPr="005576E4">
        <w:rPr>
          <w:rFonts w:ascii="Public Sans" w:hAnsi="Public Sans"/>
        </w:rPr>
        <w:t xml:space="preserve"> LGAs.</w:t>
      </w:r>
    </w:p>
    <w:p w:rsidR="001A5FB2" w:rsidRPr="005576E4" w:rsidRDefault="001A5FB2" w:rsidP="007A4BC6">
      <w:pPr>
        <w:spacing w:after="0" w:line="240" w:lineRule="auto"/>
        <w:rPr>
          <w:rFonts w:ascii="Public Sans" w:hAnsi="Public Sans"/>
          <w:noProof/>
          <w:lang w:eastAsia="en-AU"/>
        </w:rPr>
      </w:pPr>
    </w:p>
    <w:p w:rsidR="001E1198" w:rsidRPr="006853E7" w:rsidRDefault="00CF7837" w:rsidP="001E1198">
      <w:pPr>
        <w:spacing w:after="0" w:line="240" w:lineRule="auto"/>
        <w:rPr>
          <w:rFonts w:ascii="Public Sans" w:hAnsi="Public Sans" w:cs="Segoe UI"/>
          <w:b/>
          <w:sz w:val="18"/>
        </w:rPr>
      </w:pPr>
      <w:r w:rsidRPr="006853E7">
        <w:rPr>
          <w:rFonts w:ascii="Public Sans" w:hAnsi="Public Sans" w:cs="Segoe UI"/>
          <w:b/>
          <w:sz w:val="18"/>
        </w:rPr>
        <w:t>Table</w:t>
      </w:r>
      <w:r w:rsidR="001E1198" w:rsidRPr="006853E7">
        <w:rPr>
          <w:rFonts w:ascii="Public Sans" w:hAnsi="Public Sans" w:cs="Segoe UI"/>
          <w:b/>
          <w:sz w:val="18"/>
        </w:rPr>
        <w:t xml:space="preserve"> </w:t>
      </w:r>
      <w:r w:rsidRPr="006853E7">
        <w:rPr>
          <w:rFonts w:ascii="Public Sans" w:hAnsi="Public Sans" w:cs="Segoe UI"/>
          <w:b/>
          <w:sz w:val="18"/>
        </w:rPr>
        <w:t>4</w:t>
      </w:r>
      <w:r w:rsidR="001E1198" w:rsidRPr="006853E7">
        <w:rPr>
          <w:rFonts w:ascii="Public Sans" w:hAnsi="Public Sans" w:cs="Segoe UI"/>
          <w:b/>
          <w:sz w:val="18"/>
        </w:rPr>
        <w:t xml:space="preserve">: Main LGAs of </w:t>
      </w:r>
      <w:r w:rsidR="00983BDF" w:rsidRPr="006853E7">
        <w:rPr>
          <w:rFonts w:ascii="Public Sans" w:hAnsi="Public Sans" w:cs="Segoe UI"/>
          <w:b/>
          <w:sz w:val="18"/>
        </w:rPr>
        <w:t>people</w:t>
      </w:r>
      <w:r w:rsidR="001E1198" w:rsidRPr="006853E7">
        <w:rPr>
          <w:rFonts w:ascii="Public Sans" w:hAnsi="Public Sans" w:cs="Segoe UI"/>
          <w:b/>
          <w:sz w:val="18"/>
        </w:rPr>
        <w:t xml:space="preserve"> who were the subject of a report to the ADC, </w:t>
      </w:r>
      <w:r w:rsidR="00093702">
        <w:rPr>
          <w:rFonts w:ascii="Public Sans" w:hAnsi="Public Sans" w:cs="Segoe UI"/>
          <w:b/>
          <w:sz w:val="18"/>
        </w:rPr>
        <w:t>Oct</w:t>
      </w:r>
      <w:r w:rsidR="006853E7">
        <w:rPr>
          <w:rFonts w:ascii="Public Sans" w:hAnsi="Public Sans" w:cs="Segoe UI"/>
          <w:b/>
          <w:sz w:val="18"/>
        </w:rPr>
        <w:t>-</w:t>
      </w:r>
      <w:r w:rsidR="00093702">
        <w:rPr>
          <w:rFonts w:ascii="Public Sans" w:hAnsi="Public Sans" w:cs="Segoe UI"/>
          <w:b/>
          <w:sz w:val="18"/>
        </w:rPr>
        <w:t>Dec</w:t>
      </w:r>
      <w:r w:rsidR="001E1198" w:rsidRPr="006853E7">
        <w:rPr>
          <w:rFonts w:ascii="Public Sans" w:hAnsi="Public Sans" w:cs="Segoe UI"/>
          <w:b/>
          <w:sz w:val="18"/>
        </w:rPr>
        <w:t xml:space="preserve"> 202</w:t>
      </w:r>
      <w:r w:rsidR="00757506">
        <w:rPr>
          <w:rFonts w:ascii="Public Sans" w:hAnsi="Public Sans" w:cs="Segoe UI"/>
          <w:b/>
          <w:sz w:val="18"/>
        </w:rPr>
        <w:t>2</w:t>
      </w:r>
    </w:p>
    <w:tbl>
      <w:tblPr>
        <w:tblStyle w:val="TableGrid"/>
        <w:tblW w:w="0" w:type="auto"/>
        <w:tblLook w:val="04A0" w:firstRow="1" w:lastRow="0" w:firstColumn="1" w:lastColumn="0" w:noHBand="0" w:noVBand="1"/>
      </w:tblPr>
      <w:tblGrid>
        <w:gridCol w:w="562"/>
        <w:gridCol w:w="3261"/>
        <w:gridCol w:w="2126"/>
      </w:tblGrid>
      <w:tr w:rsidR="00013696" w:rsidRPr="005576E4" w:rsidTr="009A2E70">
        <w:tc>
          <w:tcPr>
            <w:tcW w:w="562" w:type="dxa"/>
            <w:shd w:val="clear" w:color="auto" w:fill="A5CCDF"/>
          </w:tcPr>
          <w:p w:rsidR="00013696" w:rsidRPr="009A2E70" w:rsidRDefault="00013696"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p>
        </w:tc>
        <w:tc>
          <w:tcPr>
            <w:tcW w:w="3261" w:type="dxa"/>
            <w:shd w:val="clear" w:color="auto" w:fill="A5CCDF"/>
          </w:tcPr>
          <w:p w:rsidR="00013696" w:rsidRPr="009A2E70" w:rsidRDefault="00013696"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b/>
                <w:sz w:val="21"/>
                <w:szCs w:val="21"/>
              </w:rPr>
            </w:pPr>
            <w:r w:rsidRPr="009A2E70">
              <w:rPr>
                <w:rFonts w:ascii="Public Sans" w:eastAsia="Helvetica" w:hAnsi="Public Sans" w:cs="Segoe UI"/>
                <w:b/>
                <w:sz w:val="21"/>
                <w:szCs w:val="21"/>
              </w:rPr>
              <w:t>Local Government Area</w:t>
            </w:r>
          </w:p>
        </w:tc>
        <w:tc>
          <w:tcPr>
            <w:tcW w:w="2126" w:type="dxa"/>
            <w:shd w:val="clear" w:color="auto" w:fill="A5CCDF"/>
          </w:tcPr>
          <w:p w:rsidR="00013696" w:rsidRPr="009A2E70" w:rsidRDefault="00013696"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b/>
                <w:sz w:val="21"/>
                <w:szCs w:val="21"/>
              </w:rPr>
            </w:pPr>
            <w:r w:rsidRPr="009A2E70">
              <w:rPr>
                <w:rFonts w:ascii="Public Sans" w:eastAsia="Helvetica" w:hAnsi="Public Sans" w:cs="Segoe UI"/>
                <w:b/>
                <w:sz w:val="21"/>
                <w:szCs w:val="21"/>
              </w:rPr>
              <w:t>Number of cases</w:t>
            </w:r>
          </w:p>
        </w:tc>
      </w:tr>
      <w:tr w:rsidR="00013696" w:rsidRPr="005576E4" w:rsidTr="009A2E70">
        <w:tc>
          <w:tcPr>
            <w:tcW w:w="562" w:type="dxa"/>
          </w:tcPr>
          <w:p w:rsidR="00013696" w:rsidRPr="009A2E70" w:rsidRDefault="00013696"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sidRPr="009A2E70">
              <w:rPr>
                <w:rFonts w:ascii="Public Sans" w:eastAsia="Helvetica" w:hAnsi="Public Sans" w:cs="Segoe UI"/>
                <w:sz w:val="21"/>
                <w:szCs w:val="21"/>
              </w:rPr>
              <w:t>1.</w:t>
            </w:r>
          </w:p>
        </w:tc>
        <w:tc>
          <w:tcPr>
            <w:tcW w:w="3261" w:type="dxa"/>
          </w:tcPr>
          <w:p w:rsidR="00013696" w:rsidRPr="009A2E70" w:rsidRDefault="00093702"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Central Coast</w:t>
            </w:r>
          </w:p>
        </w:tc>
        <w:tc>
          <w:tcPr>
            <w:tcW w:w="2126" w:type="dxa"/>
          </w:tcPr>
          <w:p w:rsidR="00013696" w:rsidRPr="009A2E70" w:rsidRDefault="00093702" w:rsidP="0001369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34</w:t>
            </w:r>
          </w:p>
        </w:tc>
      </w:tr>
      <w:tr w:rsidR="00013696" w:rsidRPr="005576E4" w:rsidTr="009A2E70">
        <w:tc>
          <w:tcPr>
            <w:tcW w:w="562" w:type="dxa"/>
          </w:tcPr>
          <w:p w:rsidR="00013696" w:rsidRPr="009A2E70" w:rsidRDefault="00013696"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sidRPr="009A2E70">
              <w:rPr>
                <w:rFonts w:ascii="Public Sans" w:eastAsia="Helvetica" w:hAnsi="Public Sans" w:cs="Segoe UI"/>
                <w:sz w:val="21"/>
                <w:szCs w:val="21"/>
              </w:rPr>
              <w:t>2.</w:t>
            </w:r>
          </w:p>
        </w:tc>
        <w:tc>
          <w:tcPr>
            <w:tcW w:w="3261" w:type="dxa"/>
          </w:tcPr>
          <w:p w:rsidR="00013696" w:rsidRPr="009A2E70" w:rsidRDefault="00093702"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Blacktown</w:t>
            </w:r>
          </w:p>
        </w:tc>
        <w:tc>
          <w:tcPr>
            <w:tcW w:w="2126" w:type="dxa"/>
          </w:tcPr>
          <w:p w:rsidR="00013696" w:rsidRPr="009A2E70" w:rsidRDefault="00093702" w:rsidP="0001369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25</w:t>
            </w:r>
          </w:p>
        </w:tc>
      </w:tr>
      <w:tr w:rsidR="00013696" w:rsidRPr="005576E4" w:rsidTr="009A2E70">
        <w:tc>
          <w:tcPr>
            <w:tcW w:w="562" w:type="dxa"/>
          </w:tcPr>
          <w:p w:rsidR="00013696" w:rsidRPr="009A2E70" w:rsidRDefault="00013696"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sidRPr="009A2E70">
              <w:rPr>
                <w:rFonts w:ascii="Public Sans" w:eastAsia="Helvetica" w:hAnsi="Public Sans" w:cs="Segoe UI"/>
                <w:sz w:val="21"/>
                <w:szCs w:val="21"/>
              </w:rPr>
              <w:t>3.</w:t>
            </w:r>
          </w:p>
        </w:tc>
        <w:tc>
          <w:tcPr>
            <w:tcW w:w="3261" w:type="dxa"/>
          </w:tcPr>
          <w:p w:rsidR="00013696" w:rsidRPr="009A2E70" w:rsidRDefault="00093702"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Lake Macquarie</w:t>
            </w:r>
          </w:p>
        </w:tc>
        <w:tc>
          <w:tcPr>
            <w:tcW w:w="2126" w:type="dxa"/>
          </w:tcPr>
          <w:p w:rsidR="00013696" w:rsidRPr="009A2E70" w:rsidRDefault="00093702" w:rsidP="000A67F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24</w:t>
            </w:r>
          </w:p>
        </w:tc>
      </w:tr>
      <w:tr w:rsidR="009310BC" w:rsidRPr="005576E4" w:rsidTr="009A2E70">
        <w:tc>
          <w:tcPr>
            <w:tcW w:w="562" w:type="dxa"/>
          </w:tcPr>
          <w:p w:rsidR="009310BC" w:rsidRPr="009A2E70" w:rsidRDefault="009310BC"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sidRPr="009A2E70">
              <w:rPr>
                <w:rFonts w:ascii="Public Sans" w:eastAsia="Helvetica" w:hAnsi="Public Sans" w:cs="Segoe UI"/>
                <w:sz w:val="21"/>
                <w:szCs w:val="21"/>
              </w:rPr>
              <w:t>4.</w:t>
            </w:r>
          </w:p>
        </w:tc>
        <w:tc>
          <w:tcPr>
            <w:tcW w:w="3261" w:type="dxa"/>
          </w:tcPr>
          <w:p w:rsidR="009310BC" w:rsidRPr="009A2E70" w:rsidRDefault="00093702"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Campbelltown</w:t>
            </w:r>
          </w:p>
        </w:tc>
        <w:tc>
          <w:tcPr>
            <w:tcW w:w="2126" w:type="dxa"/>
          </w:tcPr>
          <w:p w:rsidR="009310BC" w:rsidRPr="009A2E70" w:rsidRDefault="00093702"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23</w:t>
            </w:r>
          </w:p>
        </w:tc>
      </w:tr>
      <w:tr w:rsidR="00013696" w:rsidRPr="005576E4" w:rsidTr="009A2E70">
        <w:tc>
          <w:tcPr>
            <w:tcW w:w="562" w:type="dxa"/>
          </w:tcPr>
          <w:p w:rsidR="00013696" w:rsidRPr="009A2E70" w:rsidRDefault="000A67FE"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5</w:t>
            </w:r>
            <w:r w:rsidR="00013696" w:rsidRPr="009A2E70">
              <w:rPr>
                <w:rFonts w:ascii="Public Sans" w:eastAsia="Helvetica" w:hAnsi="Public Sans" w:cs="Segoe UI"/>
                <w:sz w:val="21"/>
                <w:szCs w:val="21"/>
              </w:rPr>
              <w:t>.</w:t>
            </w:r>
          </w:p>
        </w:tc>
        <w:tc>
          <w:tcPr>
            <w:tcW w:w="3261" w:type="dxa"/>
          </w:tcPr>
          <w:p w:rsidR="00013696" w:rsidRPr="009A2E70" w:rsidRDefault="00093702"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Newcastle</w:t>
            </w:r>
          </w:p>
        </w:tc>
        <w:tc>
          <w:tcPr>
            <w:tcW w:w="2126" w:type="dxa"/>
          </w:tcPr>
          <w:p w:rsidR="00013696" w:rsidRPr="009A2E70" w:rsidRDefault="00093702" w:rsidP="000A67F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21</w:t>
            </w:r>
          </w:p>
        </w:tc>
      </w:tr>
      <w:tr w:rsidR="00013696" w:rsidRPr="005576E4" w:rsidTr="009A2E70">
        <w:tc>
          <w:tcPr>
            <w:tcW w:w="562" w:type="dxa"/>
          </w:tcPr>
          <w:p w:rsidR="00013696" w:rsidRPr="009A2E70" w:rsidRDefault="009310BC"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sidRPr="009A2E70">
              <w:rPr>
                <w:rFonts w:ascii="Public Sans" w:eastAsia="Helvetica" w:hAnsi="Public Sans" w:cs="Segoe UI"/>
                <w:sz w:val="21"/>
                <w:szCs w:val="21"/>
              </w:rPr>
              <w:t>6</w:t>
            </w:r>
            <w:r w:rsidR="00013696" w:rsidRPr="009A2E70">
              <w:rPr>
                <w:rFonts w:ascii="Public Sans" w:eastAsia="Helvetica" w:hAnsi="Public Sans" w:cs="Segoe UI"/>
                <w:sz w:val="21"/>
                <w:szCs w:val="21"/>
              </w:rPr>
              <w:t>.</w:t>
            </w:r>
          </w:p>
        </w:tc>
        <w:tc>
          <w:tcPr>
            <w:tcW w:w="3261" w:type="dxa"/>
          </w:tcPr>
          <w:p w:rsidR="00013696" w:rsidRPr="009A2E70" w:rsidRDefault="00093702" w:rsidP="009310BC">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Bayside</w:t>
            </w:r>
          </w:p>
        </w:tc>
        <w:tc>
          <w:tcPr>
            <w:tcW w:w="2126" w:type="dxa"/>
          </w:tcPr>
          <w:p w:rsidR="00013696" w:rsidRPr="009A2E70" w:rsidRDefault="00093702"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19</w:t>
            </w:r>
          </w:p>
        </w:tc>
      </w:tr>
      <w:tr w:rsidR="00013696" w:rsidRPr="005576E4" w:rsidTr="009A2E70">
        <w:tc>
          <w:tcPr>
            <w:tcW w:w="562" w:type="dxa"/>
          </w:tcPr>
          <w:p w:rsidR="00013696" w:rsidRPr="009A2E70" w:rsidRDefault="00093702"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6</w:t>
            </w:r>
            <w:r w:rsidR="00013696" w:rsidRPr="009A2E70">
              <w:rPr>
                <w:rFonts w:ascii="Public Sans" w:eastAsia="Helvetica" w:hAnsi="Public Sans" w:cs="Segoe UI"/>
                <w:sz w:val="21"/>
                <w:szCs w:val="21"/>
              </w:rPr>
              <w:t>.</w:t>
            </w:r>
          </w:p>
        </w:tc>
        <w:tc>
          <w:tcPr>
            <w:tcW w:w="3261" w:type="dxa"/>
          </w:tcPr>
          <w:p w:rsidR="00013696" w:rsidRPr="009A2E70" w:rsidRDefault="00C064D0" w:rsidP="00904AE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C</w:t>
            </w:r>
            <w:r w:rsidR="00904AE1">
              <w:rPr>
                <w:rFonts w:ascii="Public Sans" w:eastAsia="Helvetica" w:hAnsi="Public Sans" w:cs="Segoe UI"/>
                <w:sz w:val="21"/>
                <w:szCs w:val="21"/>
              </w:rPr>
              <w:t>anterbury-Bankstown</w:t>
            </w:r>
          </w:p>
        </w:tc>
        <w:tc>
          <w:tcPr>
            <w:tcW w:w="2126" w:type="dxa"/>
          </w:tcPr>
          <w:p w:rsidR="00013696" w:rsidRPr="009A2E70" w:rsidRDefault="00904AE1"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19</w:t>
            </w:r>
          </w:p>
        </w:tc>
      </w:tr>
      <w:tr w:rsidR="00013696" w:rsidRPr="005576E4" w:rsidTr="009A2E70">
        <w:tc>
          <w:tcPr>
            <w:tcW w:w="562" w:type="dxa"/>
          </w:tcPr>
          <w:p w:rsidR="00013696" w:rsidRPr="009A2E70" w:rsidRDefault="00904AE1"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6</w:t>
            </w:r>
            <w:r w:rsidR="00013696" w:rsidRPr="009A2E70">
              <w:rPr>
                <w:rFonts w:ascii="Public Sans" w:eastAsia="Helvetica" w:hAnsi="Public Sans" w:cs="Segoe UI"/>
                <w:sz w:val="21"/>
                <w:szCs w:val="21"/>
              </w:rPr>
              <w:t>.</w:t>
            </w:r>
          </w:p>
        </w:tc>
        <w:tc>
          <w:tcPr>
            <w:tcW w:w="3261" w:type="dxa"/>
          </w:tcPr>
          <w:p w:rsidR="00013696" w:rsidRPr="009A2E70" w:rsidRDefault="00904AE1"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Cumberland</w:t>
            </w:r>
          </w:p>
        </w:tc>
        <w:tc>
          <w:tcPr>
            <w:tcW w:w="2126" w:type="dxa"/>
          </w:tcPr>
          <w:p w:rsidR="00013696" w:rsidRPr="009A2E70" w:rsidRDefault="00904AE1"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19</w:t>
            </w:r>
          </w:p>
        </w:tc>
      </w:tr>
      <w:tr w:rsidR="00C064D0" w:rsidRPr="005576E4" w:rsidTr="009A2E70">
        <w:tc>
          <w:tcPr>
            <w:tcW w:w="562" w:type="dxa"/>
          </w:tcPr>
          <w:p w:rsidR="00C064D0" w:rsidRPr="009A2E70" w:rsidRDefault="00904AE1"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6</w:t>
            </w:r>
            <w:r w:rsidR="00C064D0">
              <w:rPr>
                <w:rFonts w:ascii="Public Sans" w:eastAsia="Helvetica" w:hAnsi="Public Sans" w:cs="Segoe UI"/>
                <w:sz w:val="21"/>
                <w:szCs w:val="21"/>
              </w:rPr>
              <w:t>.</w:t>
            </w:r>
          </w:p>
        </w:tc>
        <w:tc>
          <w:tcPr>
            <w:tcW w:w="3261" w:type="dxa"/>
          </w:tcPr>
          <w:p w:rsidR="00C064D0" w:rsidRDefault="00904AE1"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Wollongong</w:t>
            </w:r>
          </w:p>
        </w:tc>
        <w:tc>
          <w:tcPr>
            <w:tcW w:w="2126" w:type="dxa"/>
          </w:tcPr>
          <w:p w:rsidR="00C064D0" w:rsidRDefault="00904AE1"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19</w:t>
            </w:r>
          </w:p>
        </w:tc>
      </w:tr>
      <w:tr w:rsidR="00904AE1" w:rsidRPr="005576E4" w:rsidTr="009A2E70">
        <w:tc>
          <w:tcPr>
            <w:tcW w:w="562" w:type="dxa"/>
          </w:tcPr>
          <w:p w:rsidR="00904AE1" w:rsidRDefault="00904AE1"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10.</w:t>
            </w:r>
          </w:p>
        </w:tc>
        <w:tc>
          <w:tcPr>
            <w:tcW w:w="3261" w:type="dxa"/>
          </w:tcPr>
          <w:p w:rsidR="00904AE1" w:rsidRDefault="00904AE1"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Northern Beaches</w:t>
            </w:r>
          </w:p>
        </w:tc>
        <w:tc>
          <w:tcPr>
            <w:tcW w:w="2126" w:type="dxa"/>
          </w:tcPr>
          <w:p w:rsidR="00904AE1" w:rsidRDefault="00904AE1" w:rsidP="006135A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18</w:t>
            </w:r>
          </w:p>
        </w:tc>
      </w:tr>
    </w:tbl>
    <w:p w:rsidR="00E95295" w:rsidRDefault="00E95295" w:rsidP="007A4BC6">
      <w:pPr>
        <w:spacing w:after="0" w:line="240" w:lineRule="auto"/>
        <w:rPr>
          <w:rFonts w:ascii="Public Sans" w:hAnsi="Public Sans" w:cs="Segoe UI"/>
          <w:b/>
          <w:sz w:val="20"/>
        </w:rPr>
      </w:pPr>
    </w:p>
    <w:p w:rsidR="00A63C78" w:rsidRPr="005576E4" w:rsidRDefault="00A63C78" w:rsidP="007A4BC6">
      <w:pPr>
        <w:spacing w:after="0" w:line="240" w:lineRule="auto"/>
        <w:rPr>
          <w:rFonts w:ascii="Public Sans" w:hAnsi="Public Sans" w:cs="Segoe UI"/>
          <w:b/>
          <w:sz w:val="20"/>
        </w:rPr>
      </w:pPr>
    </w:p>
    <w:p w:rsidR="005114EA" w:rsidRPr="00DB1BB2" w:rsidRDefault="005114EA" w:rsidP="007A4BC6">
      <w:pPr>
        <w:spacing w:after="0" w:line="240" w:lineRule="auto"/>
        <w:rPr>
          <w:rFonts w:ascii="Public Sans" w:hAnsi="Public Sans" w:cs="Segoe UI"/>
          <w:b/>
          <w:sz w:val="20"/>
        </w:rPr>
      </w:pPr>
    </w:p>
    <w:p w:rsidR="0066419B" w:rsidRPr="00DB1BB2" w:rsidRDefault="00E403D8" w:rsidP="007A4BC6">
      <w:pPr>
        <w:pStyle w:val="Heading1"/>
        <w:keepNext w:val="0"/>
        <w:keepLines w:val="0"/>
        <w:widowControl w:val="0"/>
        <w:numPr>
          <w:ilvl w:val="0"/>
          <w:numId w:val="10"/>
        </w:numPr>
        <w:spacing w:before="0" w:after="0"/>
        <w:ind w:left="426" w:hanging="426"/>
        <w:rPr>
          <w:rFonts w:ascii="Public Sans" w:hAnsi="Public Sans" w:cs="Segoe UI"/>
          <w:b/>
          <w:color w:val="auto"/>
        </w:rPr>
      </w:pPr>
      <w:r w:rsidRPr="00DB1BB2">
        <w:rPr>
          <w:rFonts w:ascii="Public Sans" w:hAnsi="Public Sans" w:cs="Segoe UI"/>
          <w:b/>
          <w:color w:val="auto"/>
        </w:rPr>
        <w:t>Reporters</w:t>
      </w:r>
    </w:p>
    <w:p w:rsidR="00070B5C" w:rsidRPr="00DB1BB2" w:rsidRDefault="00070B5C" w:rsidP="00F6632E">
      <w:pPr>
        <w:pStyle w:val="Heading2"/>
        <w:rPr>
          <w:rFonts w:ascii="Public Sans" w:hAnsi="Public Sans"/>
          <w:b/>
          <w:color w:val="auto"/>
          <w:sz w:val="22"/>
        </w:rPr>
      </w:pPr>
    </w:p>
    <w:p w:rsidR="00E134D4" w:rsidRPr="00DB1BB2" w:rsidRDefault="00E134D4" w:rsidP="00F6632E">
      <w:pPr>
        <w:pStyle w:val="Heading2"/>
        <w:rPr>
          <w:rFonts w:ascii="Public Sans" w:hAnsi="Public Sans"/>
          <w:b/>
          <w:color w:val="auto"/>
        </w:rPr>
      </w:pPr>
      <w:r w:rsidRPr="00DB1BB2">
        <w:rPr>
          <w:rFonts w:ascii="Public Sans" w:hAnsi="Public Sans"/>
          <w:b/>
          <w:color w:val="auto"/>
        </w:rPr>
        <w:t>3.1 Relationship of reporter to the adult</w:t>
      </w:r>
    </w:p>
    <w:p w:rsidR="003F6016" w:rsidRPr="00DB1BB2" w:rsidRDefault="003F6016" w:rsidP="007A4BC6">
      <w:pPr>
        <w:pStyle w:val="Heading3"/>
        <w:spacing w:before="0"/>
        <w:rPr>
          <w:rFonts w:ascii="Public Sans" w:hAnsi="Public Sans"/>
          <w:b/>
          <w:color w:val="auto"/>
          <w:sz w:val="22"/>
        </w:rPr>
      </w:pPr>
    </w:p>
    <w:p w:rsidR="00EE0608" w:rsidRPr="005C0C0B" w:rsidRDefault="00EE0608" w:rsidP="007A4BC6">
      <w:pPr>
        <w:pStyle w:val="Heading3"/>
        <w:spacing w:before="0"/>
        <w:rPr>
          <w:rFonts w:ascii="Public Sans" w:hAnsi="Public Sans"/>
          <w:b/>
          <w:color w:val="auto"/>
        </w:rPr>
      </w:pPr>
      <w:r w:rsidRPr="005C0C0B">
        <w:rPr>
          <w:rFonts w:ascii="Public Sans" w:hAnsi="Public Sans"/>
          <w:b/>
          <w:color w:val="auto"/>
        </w:rPr>
        <w:t>Older people</w:t>
      </w:r>
    </w:p>
    <w:p w:rsidR="002948C7" w:rsidRPr="005576E4" w:rsidRDefault="00CF6964" w:rsidP="002948C7">
      <w:pPr>
        <w:pStyle w:val="Body"/>
        <w:widowControl w:val="0"/>
        <w:spacing w:before="120" w:after="0" w:line="240" w:lineRule="auto"/>
        <w:rPr>
          <w:rFonts w:ascii="Public Sans" w:eastAsia="Helvetica" w:hAnsi="Public Sans" w:cs="Segoe UI"/>
        </w:rPr>
      </w:pPr>
      <w:r>
        <w:rPr>
          <w:rFonts w:ascii="Public Sans" w:eastAsia="Helvetica" w:hAnsi="Public Sans" w:cs="Segoe UI"/>
        </w:rPr>
        <w:t>Paid workers (</w:t>
      </w:r>
      <w:r w:rsidR="009F1E6B">
        <w:rPr>
          <w:rFonts w:ascii="Public Sans" w:eastAsia="Helvetica" w:hAnsi="Public Sans" w:cs="Segoe UI"/>
        </w:rPr>
        <w:t>34.7</w:t>
      </w:r>
      <w:r>
        <w:rPr>
          <w:rFonts w:ascii="Public Sans" w:eastAsia="Helvetica" w:hAnsi="Public Sans" w:cs="Segoe UI"/>
        </w:rPr>
        <w:t>%) and a</w:t>
      </w:r>
      <w:r w:rsidR="00DB1BB2">
        <w:rPr>
          <w:rFonts w:ascii="Public Sans" w:eastAsia="Helvetica" w:hAnsi="Public Sans" w:cs="Segoe UI"/>
        </w:rPr>
        <w:t>dult children</w:t>
      </w:r>
      <w:r w:rsidR="002948C7" w:rsidRPr="005576E4">
        <w:rPr>
          <w:rFonts w:ascii="Public Sans" w:eastAsia="Helvetica" w:hAnsi="Public Sans" w:cs="Segoe UI"/>
        </w:rPr>
        <w:t xml:space="preserve"> (2</w:t>
      </w:r>
      <w:r w:rsidR="009F1E6B">
        <w:rPr>
          <w:rFonts w:ascii="Public Sans" w:eastAsia="Helvetica" w:hAnsi="Public Sans" w:cs="Segoe UI"/>
        </w:rPr>
        <w:t>6.6</w:t>
      </w:r>
      <w:r w:rsidR="002948C7" w:rsidRPr="005576E4">
        <w:rPr>
          <w:rFonts w:ascii="Public Sans" w:eastAsia="Helvetica" w:hAnsi="Public Sans" w:cs="Segoe UI"/>
        </w:rPr>
        <w:t xml:space="preserve">%) </w:t>
      </w:r>
      <w:r>
        <w:rPr>
          <w:rFonts w:ascii="Public Sans" w:eastAsia="Helvetica" w:hAnsi="Public Sans" w:cs="Segoe UI"/>
        </w:rPr>
        <w:t>w</w:t>
      </w:r>
      <w:r w:rsidR="002948C7" w:rsidRPr="005576E4">
        <w:rPr>
          <w:rFonts w:ascii="Public Sans" w:eastAsia="Helvetica" w:hAnsi="Public Sans" w:cs="Segoe UI"/>
        </w:rPr>
        <w:t xml:space="preserve">ere the main source of reports to the ADC about older people in </w:t>
      </w:r>
      <w:r w:rsidR="009F1E6B">
        <w:rPr>
          <w:rFonts w:ascii="Public Sans" w:eastAsia="Helvetica" w:hAnsi="Public Sans" w:cs="Segoe UI"/>
        </w:rPr>
        <w:t>October</w:t>
      </w:r>
      <w:r w:rsidR="002948C7" w:rsidRPr="005576E4">
        <w:rPr>
          <w:rFonts w:ascii="Public Sans" w:eastAsia="Helvetica" w:hAnsi="Public Sans" w:cs="Segoe UI"/>
        </w:rPr>
        <w:t xml:space="preserve"> – </w:t>
      </w:r>
      <w:r w:rsidR="009F1E6B">
        <w:rPr>
          <w:rFonts w:ascii="Public Sans" w:eastAsia="Helvetica" w:hAnsi="Public Sans" w:cs="Segoe UI"/>
        </w:rPr>
        <w:t>Dec</w:t>
      </w:r>
      <w:r w:rsidR="001C1067">
        <w:rPr>
          <w:rFonts w:ascii="Public Sans" w:eastAsia="Helvetica" w:hAnsi="Public Sans" w:cs="Segoe UI"/>
        </w:rPr>
        <w:t>ember</w:t>
      </w:r>
      <w:r w:rsidR="002948C7" w:rsidRPr="005576E4">
        <w:rPr>
          <w:rFonts w:ascii="Public Sans" w:eastAsia="Helvetica" w:hAnsi="Public Sans" w:cs="Segoe UI"/>
        </w:rPr>
        <w:t xml:space="preserve"> 202</w:t>
      </w:r>
      <w:r w:rsidR="00E741D6">
        <w:rPr>
          <w:rFonts w:ascii="Public Sans" w:eastAsia="Helvetica" w:hAnsi="Public Sans" w:cs="Segoe UI"/>
        </w:rPr>
        <w:t>2</w:t>
      </w:r>
      <w:r w:rsidR="002948C7" w:rsidRPr="005576E4">
        <w:rPr>
          <w:rFonts w:ascii="Public Sans" w:eastAsia="Helvetica" w:hAnsi="Public Sans" w:cs="Segoe UI"/>
        </w:rPr>
        <w:t xml:space="preserve">. Reports by older people (‘person experiencing abuse’) accounted for </w:t>
      </w:r>
      <w:r w:rsidR="00944672">
        <w:rPr>
          <w:rFonts w:ascii="Public Sans" w:eastAsia="Helvetica" w:hAnsi="Public Sans" w:cs="Segoe UI"/>
        </w:rPr>
        <w:t>1</w:t>
      </w:r>
      <w:r>
        <w:rPr>
          <w:rFonts w:ascii="Public Sans" w:eastAsia="Helvetica" w:hAnsi="Public Sans" w:cs="Segoe UI"/>
        </w:rPr>
        <w:t>3</w:t>
      </w:r>
      <w:r w:rsidR="002948C7" w:rsidRPr="005576E4">
        <w:rPr>
          <w:rFonts w:ascii="Public Sans" w:eastAsia="Helvetica" w:hAnsi="Public Sans" w:cs="Segoe UI"/>
        </w:rPr>
        <w:t xml:space="preserve">% of the </w:t>
      </w:r>
      <w:r w:rsidR="009F1E6B">
        <w:rPr>
          <w:rFonts w:ascii="Public Sans" w:eastAsia="Helvetica" w:hAnsi="Public Sans" w:cs="Segoe UI"/>
        </w:rPr>
        <w:t xml:space="preserve">714 </w:t>
      </w:r>
      <w:r w:rsidR="002948C7" w:rsidRPr="005576E4">
        <w:rPr>
          <w:rFonts w:ascii="Public Sans" w:eastAsia="Helvetica" w:hAnsi="Public Sans" w:cs="Segoe UI"/>
        </w:rPr>
        <w:t xml:space="preserve">reports about older people in this quarter. </w:t>
      </w:r>
    </w:p>
    <w:p w:rsidR="002948C7" w:rsidRPr="005576E4" w:rsidRDefault="002948C7" w:rsidP="002948C7">
      <w:pPr>
        <w:pStyle w:val="Body"/>
        <w:widowControl w:val="0"/>
        <w:spacing w:after="0" w:line="240" w:lineRule="auto"/>
        <w:rPr>
          <w:rFonts w:ascii="Public Sans" w:eastAsia="Helvetica" w:hAnsi="Public Sans" w:cs="Segoe UI"/>
          <w:b/>
          <w:sz w:val="20"/>
        </w:rPr>
      </w:pPr>
    </w:p>
    <w:p w:rsidR="002948C7" w:rsidRDefault="002948C7" w:rsidP="002948C7">
      <w:pPr>
        <w:pStyle w:val="Body"/>
        <w:widowControl w:val="0"/>
        <w:spacing w:after="0" w:line="240" w:lineRule="auto"/>
        <w:rPr>
          <w:rFonts w:ascii="Public Sans" w:eastAsia="Helvetica" w:hAnsi="Public Sans" w:cs="Segoe UI"/>
          <w:b/>
          <w:sz w:val="18"/>
        </w:rPr>
      </w:pPr>
      <w:r w:rsidRPr="00944672">
        <w:rPr>
          <w:rFonts w:ascii="Public Sans" w:eastAsia="Helvetica" w:hAnsi="Public Sans" w:cs="Segoe UI"/>
          <w:b/>
          <w:sz w:val="18"/>
        </w:rPr>
        <w:t xml:space="preserve">Figure </w:t>
      </w:r>
      <w:r w:rsidR="00234D13" w:rsidRPr="00944672">
        <w:rPr>
          <w:rFonts w:ascii="Public Sans" w:eastAsia="Helvetica" w:hAnsi="Public Sans" w:cs="Segoe UI"/>
          <w:b/>
          <w:sz w:val="18"/>
        </w:rPr>
        <w:t>8</w:t>
      </w:r>
      <w:r w:rsidRPr="00944672">
        <w:rPr>
          <w:rFonts w:ascii="Public Sans" w:eastAsia="Helvetica" w:hAnsi="Public Sans" w:cs="Segoe UI"/>
          <w:b/>
          <w:sz w:val="18"/>
        </w:rPr>
        <w:t xml:space="preserve">: Relationship of reporter to the older person in reports to the ADC, </w:t>
      </w:r>
      <w:r w:rsidR="009F1E6B">
        <w:rPr>
          <w:rFonts w:ascii="Public Sans" w:eastAsia="Helvetica" w:hAnsi="Public Sans" w:cs="Segoe UI"/>
          <w:b/>
          <w:sz w:val="18"/>
        </w:rPr>
        <w:t>Oct</w:t>
      </w:r>
      <w:r w:rsidR="00944672" w:rsidRPr="00944672">
        <w:rPr>
          <w:rFonts w:ascii="Public Sans" w:eastAsia="Helvetica" w:hAnsi="Public Sans" w:cs="Segoe UI"/>
          <w:b/>
          <w:sz w:val="18"/>
        </w:rPr>
        <w:t>-</w:t>
      </w:r>
      <w:r w:rsidR="009F1E6B">
        <w:rPr>
          <w:rFonts w:ascii="Public Sans" w:eastAsia="Helvetica" w:hAnsi="Public Sans" w:cs="Segoe UI"/>
          <w:b/>
          <w:sz w:val="18"/>
        </w:rPr>
        <w:t>Dec</w:t>
      </w:r>
      <w:r w:rsidRPr="00944672">
        <w:rPr>
          <w:rFonts w:ascii="Public Sans" w:eastAsia="Helvetica" w:hAnsi="Public Sans" w:cs="Segoe UI"/>
          <w:b/>
          <w:sz w:val="18"/>
        </w:rPr>
        <w:t xml:space="preserve"> 202</w:t>
      </w:r>
      <w:r w:rsidR="007A350D">
        <w:rPr>
          <w:rFonts w:ascii="Public Sans" w:eastAsia="Helvetica" w:hAnsi="Public Sans" w:cs="Segoe UI"/>
          <w:b/>
          <w:sz w:val="18"/>
        </w:rPr>
        <w:t>2</w:t>
      </w:r>
    </w:p>
    <w:p w:rsidR="00E741D6" w:rsidRDefault="00FC66F4" w:rsidP="002948C7">
      <w:pPr>
        <w:pStyle w:val="Body"/>
        <w:widowControl w:val="0"/>
        <w:spacing w:after="0" w:line="240" w:lineRule="auto"/>
        <w:rPr>
          <w:rFonts w:ascii="Public Sans" w:eastAsia="Helvetica" w:hAnsi="Public Sans" w:cs="Segoe UI"/>
          <w:b/>
          <w:sz w:val="18"/>
        </w:rPr>
      </w:pPr>
      <w:r>
        <w:rPr>
          <w:noProof/>
        </w:rPr>
        <w:drawing>
          <wp:inline distT="0" distB="0" distL="0" distR="0" wp14:anchorId="6E480CC1" wp14:editId="68D85613">
            <wp:extent cx="6000750" cy="22955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741D6" w:rsidRPr="00944672" w:rsidRDefault="00E741D6" w:rsidP="002948C7">
      <w:pPr>
        <w:pStyle w:val="Body"/>
        <w:widowControl w:val="0"/>
        <w:spacing w:after="0" w:line="240" w:lineRule="auto"/>
        <w:rPr>
          <w:rFonts w:ascii="Public Sans" w:eastAsia="Helvetica" w:hAnsi="Public Sans" w:cs="Segoe UI"/>
          <w:b/>
          <w:sz w:val="18"/>
        </w:rPr>
      </w:pPr>
    </w:p>
    <w:p w:rsidR="00613AF2" w:rsidRPr="00613AF2" w:rsidRDefault="00613AF2" w:rsidP="00613AF2">
      <w:pPr>
        <w:spacing w:after="0"/>
      </w:pPr>
    </w:p>
    <w:p w:rsidR="00936332" w:rsidRPr="009A2E70" w:rsidRDefault="00936332" w:rsidP="00936332">
      <w:pPr>
        <w:pStyle w:val="Heading3"/>
        <w:spacing w:before="0"/>
        <w:rPr>
          <w:rFonts w:ascii="Public Sans" w:eastAsia="Helvetica" w:hAnsi="Public Sans"/>
          <w:b/>
          <w:color w:val="auto"/>
        </w:rPr>
      </w:pPr>
      <w:r w:rsidRPr="009A2E70">
        <w:rPr>
          <w:rFonts w:ascii="Public Sans" w:eastAsia="Helvetica" w:hAnsi="Public Sans"/>
          <w:b/>
          <w:color w:val="auto"/>
        </w:rPr>
        <w:t>Adults with disability</w:t>
      </w:r>
    </w:p>
    <w:p w:rsidR="002948C7" w:rsidRPr="005576E4" w:rsidRDefault="005F4FE8" w:rsidP="002948C7">
      <w:pPr>
        <w:spacing w:before="120" w:after="0" w:line="240" w:lineRule="auto"/>
        <w:rPr>
          <w:rFonts w:ascii="Public Sans" w:hAnsi="Public Sans"/>
        </w:rPr>
      </w:pPr>
      <w:r>
        <w:rPr>
          <w:rFonts w:ascii="Public Sans" w:hAnsi="Public Sans"/>
        </w:rPr>
        <w:t>P</w:t>
      </w:r>
      <w:r w:rsidR="002948C7" w:rsidRPr="005576E4">
        <w:rPr>
          <w:rFonts w:ascii="Public Sans" w:hAnsi="Public Sans"/>
        </w:rPr>
        <w:t xml:space="preserve">aid workers were the main source of reports to the ADC about adults with disability in </w:t>
      </w:r>
      <w:r w:rsidR="00C02F99">
        <w:rPr>
          <w:rFonts w:ascii="Public Sans" w:hAnsi="Public Sans"/>
        </w:rPr>
        <w:t>October</w:t>
      </w:r>
      <w:r w:rsidR="002948C7" w:rsidRPr="005576E4">
        <w:rPr>
          <w:rFonts w:ascii="Public Sans" w:hAnsi="Public Sans"/>
        </w:rPr>
        <w:t xml:space="preserve"> – </w:t>
      </w:r>
      <w:r w:rsidR="00C02F99">
        <w:rPr>
          <w:rFonts w:ascii="Public Sans" w:hAnsi="Public Sans"/>
        </w:rPr>
        <w:t>Dec</w:t>
      </w:r>
      <w:r w:rsidR="00D615E6">
        <w:rPr>
          <w:rFonts w:ascii="Public Sans" w:hAnsi="Public Sans"/>
        </w:rPr>
        <w:t>ember</w:t>
      </w:r>
      <w:r w:rsidR="00944672">
        <w:rPr>
          <w:rFonts w:ascii="Public Sans" w:hAnsi="Public Sans"/>
        </w:rPr>
        <w:t xml:space="preserve"> </w:t>
      </w:r>
      <w:r w:rsidR="002948C7" w:rsidRPr="005576E4">
        <w:rPr>
          <w:rFonts w:ascii="Public Sans" w:hAnsi="Public Sans"/>
        </w:rPr>
        <w:t>202</w:t>
      </w:r>
      <w:r>
        <w:rPr>
          <w:rFonts w:ascii="Public Sans" w:hAnsi="Public Sans"/>
        </w:rPr>
        <w:t>2</w:t>
      </w:r>
      <w:r w:rsidR="002948C7" w:rsidRPr="005576E4">
        <w:rPr>
          <w:rFonts w:ascii="Public Sans" w:hAnsi="Public Sans"/>
        </w:rPr>
        <w:t>, accounting for</w:t>
      </w:r>
      <w:r w:rsidR="009624D7">
        <w:rPr>
          <w:rFonts w:ascii="Public Sans" w:hAnsi="Public Sans"/>
        </w:rPr>
        <w:t xml:space="preserve"> 61.7%</w:t>
      </w:r>
      <w:r w:rsidR="002948C7" w:rsidRPr="005576E4">
        <w:rPr>
          <w:rFonts w:ascii="Public Sans" w:hAnsi="Public Sans"/>
        </w:rPr>
        <w:t xml:space="preserve"> of the 2</w:t>
      </w:r>
      <w:r w:rsidR="009624D7">
        <w:rPr>
          <w:rFonts w:ascii="Public Sans" w:hAnsi="Public Sans"/>
        </w:rPr>
        <w:t>27</w:t>
      </w:r>
      <w:r w:rsidR="002948C7" w:rsidRPr="005576E4">
        <w:rPr>
          <w:rFonts w:ascii="Public Sans" w:hAnsi="Public Sans"/>
        </w:rPr>
        <w:t xml:space="preserve"> reports. Adults with disability (‘person experiencing abuse’) were the reporters in </w:t>
      </w:r>
      <w:r w:rsidR="009624D7">
        <w:rPr>
          <w:rFonts w:ascii="Public Sans" w:hAnsi="Public Sans"/>
        </w:rPr>
        <w:t>8.8</w:t>
      </w:r>
      <w:r w:rsidR="002948C7" w:rsidRPr="005576E4">
        <w:rPr>
          <w:rFonts w:ascii="Public Sans" w:hAnsi="Public Sans"/>
        </w:rPr>
        <w:t xml:space="preserve">% of reports received about adults with disability this quarter. </w:t>
      </w:r>
    </w:p>
    <w:p w:rsidR="002948C7" w:rsidRPr="005576E4" w:rsidRDefault="002948C7" w:rsidP="002948C7">
      <w:pPr>
        <w:spacing w:after="0" w:line="240" w:lineRule="auto"/>
        <w:rPr>
          <w:rFonts w:ascii="Public Sans" w:hAnsi="Public Sans"/>
        </w:rPr>
      </w:pPr>
    </w:p>
    <w:p w:rsidR="002948C7" w:rsidRDefault="002948C7" w:rsidP="002948C7">
      <w:pPr>
        <w:pStyle w:val="Body"/>
        <w:widowControl w:val="0"/>
        <w:spacing w:after="0" w:line="240" w:lineRule="auto"/>
        <w:rPr>
          <w:rFonts w:ascii="Public Sans" w:eastAsia="Helvetica" w:hAnsi="Public Sans" w:cs="Segoe UI"/>
          <w:b/>
          <w:sz w:val="18"/>
        </w:rPr>
      </w:pPr>
      <w:r w:rsidRPr="00B35455">
        <w:rPr>
          <w:rFonts w:ascii="Public Sans" w:eastAsia="Helvetica" w:hAnsi="Public Sans" w:cs="Segoe UI"/>
          <w:b/>
          <w:sz w:val="18"/>
        </w:rPr>
        <w:t xml:space="preserve">Figure 9: Relationship of reporter to the adult with disability in reports to the ADC, </w:t>
      </w:r>
      <w:r w:rsidR="00C02F99">
        <w:rPr>
          <w:rFonts w:ascii="Public Sans" w:eastAsia="Helvetica" w:hAnsi="Public Sans" w:cs="Segoe UI"/>
          <w:b/>
          <w:sz w:val="18"/>
        </w:rPr>
        <w:t>Oct</w:t>
      </w:r>
      <w:r w:rsidR="00B35455">
        <w:rPr>
          <w:rFonts w:ascii="Public Sans" w:eastAsia="Helvetica" w:hAnsi="Public Sans" w:cs="Segoe UI"/>
          <w:b/>
          <w:sz w:val="18"/>
        </w:rPr>
        <w:t>-</w:t>
      </w:r>
      <w:r w:rsidR="00C02F99">
        <w:rPr>
          <w:rFonts w:ascii="Public Sans" w:eastAsia="Helvetica" w:hAnsi="Public Sans" w:cs="Segoe UI"/>
          <w:b/>
          <w:sz w:val="18"/>
        </w:rPr>
        <w:t>Dec</w:t>
      </w:r>
      <w:r w:rsidRPr="00B35455">
        <w:rPr>
          <w:rFonts w:ascii="Public Sans" w:eastAsia="Helvetica" w:hAnsi="Public Sans" w:cs="Segoe UI"/>
          <w:b/>
          <w:sz w:val="18"/>
        </w:rPr>
        <w:t xml:space="preserve"> 202</w:t>
      </w:r>
      <w:r w:rsidR="007A350D">
        <w:rPr>
          <w:rFonts w:ascii="Public Sans" w:eastAsia="Helvetica" w:hAnsi="Public Sans" w:cs="Segoe UI"/>
          <w:b/>
          <w:sz w:val="18"/>
        </w:rPr>
        <w:t>2</w:t>
      </w:r>
    </w:p>
    <w:p w:rsidR="007A350D" w:rsidRDefault="00C02F99" w:rsidP="002948C7">
      <w:pPr>
        <w:pStyle w:val="Body"/>
        <w:widowControl w:val="0"/>
        <w:spacing w:after="0" w:line="240" w:lineRule="auto"/>
        <w:rPr>
          <w:rFonts w:ascii="Public Sans" w:eastAsia="Helvetica" w:hAnsi="Public Sans" w:cs="Segoe UI"/>
          <w:b/>
          <w:sz w:val="18"/>
        </w:rPr>
      </w:pPr>
      <w:r>
        <w:rPr>
          <w:noProof/>
        </w:rPr>
        <w:drawing>
          <wp:inline distT="0" distB="0" distL="0" distR="0" wp14:anchorId="7E5986F9" wp14:editId="3B1524AD">
            <wp:extent cx="6010275" cy="217170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A350D" w:rsidRPr="00B35455" w:rsidRDefault="007A350D" w:rsidP="002948C7">
      <w:pPr>
        <w:pStyle w:val="Body"/>
        <w:widowControl w:val="0"/>
        <w:spacing w:after="0" w:line="240" w:lineRule="auto"/>
        <w:rPr>
          <w:rFonts w:ascii="Public Sans" w:eastAsia="Helvetica" w:hAnsi="Public Sans" w:cs="Segoe UI"/>
          <w:b/>
          <w:sz w:val="18"/>
        </w:rPr>
      </w:pPr>
    </w:p>
    <w:p w:rsidR="002948C7" w:rsidRPr="00A63C78" w:rsidRDefault="002948C7" w:rsidP="005B09CE">
      <w:pPr>
        <w:spacing w:after="0"/>
        <w:rPr>
          <w:rFonts w:ascii="Public Sans" w:hAnsi="Public Sans"/>
          <w:sz w:val="20"/>
        </w:rPr>
      </w:pPr>
    </w:p>
    <w:p w:rsidR="00075101" w:rsidRPr="00B35455" w:rsidRDefault="00104A3D" w:rsidP="007A4BC6">
      <w:pPr>
        <w:pStyle w:val="Heading1"/>
        <w:keepNext w:val="0"/>
        <w:keepLines w:val="0"/>
        <w:widowControl w:val="0"/>
        <w:numPr>
          <w:ilvl w:val="0"/>
          <w:numId w:val="10"/>
        </w:numPr>
        <w:spacing w:before="0" w:after="0"/>
        <w:ind w:left="426" w:hanging="426"/>
        <w:rPr>
          <w:rFonts w:ascii="Public Sans" w:hAnsi="Public Sans" w:cs="Segoe UI"/>
          <w:b/>
          <w:color w:val="auto"/>
        </w:rPr>
      </w:pPr>
      <w:r w:rsidRPr="00B35455">
        <w:rPr>
          <w:rFonts w:ascii="Public Sans" w:hAnsi="Public Sans" w:cs="Segoe UI"/>
          <w:b/>
          <w:color w:val="auto"/>
        </w:rPr>
        <w:t>Subjects of allegation</w:t>
      </w:r>
    </w:p>
    <w:p w:rsidR="00F47D6A" w:rsidRPr="008264C8" w:rsidRDefault="00F47D6A" w:rsidP="00F6632E">
      <w:pPr>
        <w:pStyle w:val="Heading2"/>
        <w:rPr>
          <w:rFonts w:ascii="Public Sans" w:hAnsi="Public Sans"/>
          <w:b/>
          <w:color w:val="auto"/>
          <w:sz w:val="20"/>
        </w:rPr>
      </w:pPr>
    </w:p>
    <w:p w:rsidR="00E134D4" w:rsidRPr="00B35455" w:rsidRDefault="00E134D4" w:rsidP="005B09CE">
      <w:pPr>
        <w:pStyle w:val="Heading2"/>
        <w:spacing w:before="0"/>
        <w:rPr>
          <w:rFonts w:ascii="Public Sans" w:hAnsi="Public Sans"/>
          <w:b/>
          <w:color w:val="auto"/>
        </w:rPr>
      </w:pPr>
      <w:r w:rsidRPr="00B35455">
        <w:rPr>
          <w:rFonts w:ascii="Public Sans" w:hAnsi="Public Sans"/>
          <w:b/>
          <w:color w:val="auto"/>
        </w:rPr>
        <w:t>4.1 Relationship of the subject of allegation to the adult</w:t>
      </w:r>
    </w:p>
    <w:p w:rsidR="00F47D6A" w:rsidRPr="008264C8" w:rsidRDefault="00F47D6A" w:rsidP="007A4BC6">
      <w:pPr>
        <w:pStyle w:val="Heading3"/>
        <w:spacing w:before="0"/>
        <w:rPr>
          <w:rFonts w:ascii="Public Sans" w:eastAsia="Helvetica" w:hAnsi="Public Sans"/>
          <w:b/>
          <w:color w:val="auto"/>
          <w:sz w:val="20"/>
        </w:rPr>
      </w:pPr>
    </w:p>
    <w:p w:rsidR="001A6FB2" w:rsidRPr="00B35455" w:rsidRDefault="001A6FB2" w:rsidP="007A4BC6">
      <w:pPr>
        <w:pStyle w:val="Heading3"/>
        <w:spacing w:before="0"/>
        <w:rPr>
          <w:rFonts w:ascii="Public Sans" w:eastAsia="Helvetica" w:hAnsi="Public Sans"/>
          <w:b/>
          <w:color w:val="auto"/>
        </w:rPr>
      </w:pPr>
      <w:r w:rsidRPr="00B35455">
        <w:rPr>
          <w:rFonts w:ascii="Public Sans" w:eastAsia="Helvetica" w:hAnsi="Public Sans"/>
          <w:b/>
          <w:color w:val="auto"/>
        </w:rPr>
        <w:t>Older people</w:t>
      </w:r>
    </w:p>
    <w:p w:rsidR="002948C7" w:rsidRPr="005576E4" w:rsidRDefault="000774BA" w:rsidP="002948C7">
      <w:pPr>
        <w:pStyle w:val="Body"/>
        <w:widowControl w:val="0"/>
        <w:spacing w:before="120" w:after="0" w:line="240" w:lineRule="auto"/>
        <w:rPr>
          <w:rFonts w:ascii="Public Sans" w:eastAsia="Helvetica" w:hAnsi="Public Sans" w:cs="Segoe UI"/>
        </w:rPr>
      </w:pPr>
      <w:r>
        <w:rPr>
          <w:rFonts w:ascii="Public Sans" w:eastAsia="Helvetica" w:hAnsi="Public Sans" w:cs="Segoe UI"/>
        </w:rPr>
        <w:t>H</w:t>
      </w:r>
      <w:r w:rsidR="002948C7" w:rsidRPr="005576E4">
        <w:rPr>
          <w:rFonts w:ascii="Public Sans" w:eastAsia="Helvetica" w:hAnsi="Public Sans" w:cs="Segoe UI"/>
        </w:rPr>
        <w:t>alf (5</w:t>
      </w:r>
      <w:r w:rsidR="000C6FE0">
        <w:rPr>
          <w:rFonts w:ascii="Public Sans" w:eastAsia="Helvetica" w:hAnsi="Public Sans" w:cs="Segoe UI"/>
        </w:rPr>
        <w:t>0.3</w:t>
      </w:r>
      <w:r w:rsidR="002948C7" w:rsidRPr="005576E4">
        <w:rPr>
          <w:rFonts w:ascii="Public Sans" w:eastAsia="Helvetica" w:hAnsi="Public Sans" w:cs="Segoe UI"/>
        </w:rPr>
        <w:t xml:space="preserve">%) of the </w:t>
      </w:r>
      <w:r w:rsidR="000C6FE0">
        <w:rPr>
          <w:rFonts w:ascii="Public Sans" w:eastAsia="Helvetica" w:hAnsi="Public Sans" w:cs="Segoe UI"/>
        </w:rPr>
        <w:t>714</w:t>
      </w:r>
      <w:r w:rsidR="002948C7" w:rsidRPr="005576E4">
        <w:rPr>
          <w:rFonts w:ascii="Public Sans" w:eastAsia="Helvetica" w:hAnsi="Public Sans" w:cs="Segoe UI"/>
        </w:rPr>
        <w:t xml:space="preserve"> reports to the ADC about older people in </w:t>
      </w:r>
      <w:r w:rsidR="000C6FE0">
        <w:rPr>
          <w:rFonts w:ascii="Public Sans" w:eastAsia="Helvetica" w:hAnsi="Public Sans" w:cs="Segoe UI"/>
        </w:rPr>
        <w:t>October</w:t>
      </w:r>
      <w:r w:rsidR="002948C7" w:rsidRPr="005576E4">
        <w:rPr>
          <w:rFonts w:ascii="Public Sans" w:eastAsia="Helvetica" w:hAnsi="Public Sans" w:cs="Segoe UI"/>
        </w:rPr>
        <w:t xml:space="preserve"> – </w:t>
      </w:r>
      <w:r w:rsidR="000C6FE0">
        <w:rPr>
          <w:rFonts w:ascii="Public Sans" w:eastAsia="Helvetica" w:hAnsi="Public Sans" w:cs="Segoe UI"/>
        </w:rPr>
        <w:t>Dec</w:t>
      </w:r>
      <w:r w:rsidR="00742DD9">
        <w:rPr>
          <w:rFonts w:ascii="Public Sans" w:eastAsia="Helvetica" w:hAnsi="Public Sans" w:cs="Segoe UI"/>
        </w:rPr>
        <w:t>ember</w:t>
      </w:r>
      <w:r w:rsidR="002948C7" w:rsidRPr="005576E4">
        <w:rPr>
          <w:rFonts w:ascii="Public Sans" w:eastAsia="Helvetica" w:hAnsi="Public Sans" w:cs="Segoe UI"/>
        </w:rPr>
        <w:t xml:space="preserve"> 202</w:t>
      </w:r>
      <w:r>
        <w:rPr>
          <w:rFonts w:ascii="Public Sans" w:eastAsia="Helvetica" w:hAnsi="Public Sans" w:cs="Segoe UI"/>
        </w:rPr>
        <w:t>2</w:t>
      </w:r>
      <w:r w:rsidR="002948C7" w:rsidRPr="005576E4">
        <w:rPr>
          <w:rFonts w:ascii="Public Sans" w:eastAsia="Helvetica" w:hAnsi="Public Sans" w:cs="Segoe UI"/>
        </w:rPr>
        <w:t xml:space="preserve"> pertained to the person’s adult children. All up, relatives</w:t>
      </w:r>
      <w:r w:rsidR="008264C8">
        <w:rPr>
          <w:rStyle w:val="FootnoteReference"/>
          <w:rFonts w:ascii="Public Sans" w:eastAsia="Helvetica" w:hAnsi="Public Sans" w:cs="Segoe UI"/>
        </w:rPr>
        <w:footnoteReference w:id="3"/>
      </w:r>
      <w:r w:rsidR="002948C7" w:rsidRPr="005576E4">
        <w:rPr>
          <w:rFonts w:ascii="Public Sans" w:eastAsia="Helvetica" w:hAnsi="Public Sans" w:cs="Segoe UI"/>
        </w:rPr>
        <w:t xml:space="preserve"> were the subjects of allegation in </w:t>
      </w:r>
      <w:r w:rsidR="00742DD9">
        <w:rPr>
          <w:rFonts w:ascii="Public Sans" w:eastAsia="Helvetica" w:hAnsi="Public Sans" w:cs="Segoe UI"/>
        </w:rPr>
        <w:t>58</w:t>
      </w:r>
      <w:r w:rsidR="00D17C25">
        <w:rPr>
          <w:rFonts w:ascii="Public Sans" w:eastAsia="Helvetica" w:hAnsi="Public Sans" w:cs="Segoe UI"/>
        </w:rPr>
        <w:t>.</w:t>
      </w:r>
      <w:r w:rsidR="000C6FE0">
        <w:rPr>
          <w:rFonts w:ascii="Public Sans" w:eastAsia="Helvetica" w:hAnsi="Public Sans" w:cs="Segoe UI"/>
        </w:rPr>
        <w:t>8</w:t>
      </w:r>
      <w:r w:rsidR="002948C7" w:rsidRPr="005576E4">
        <w:rPr>
          <w:rFonts w:ascii="Public Sans" w:eastAsia="Helvetica" w:hAnsi="Public Sans" w:cs="Segoe UI"/>
        </w:rPr>
        <w:t>% of the reports about older people in this quarter. Allegations against a spouse or partner (or ex-spouse/ partner) featured in 1</w:t>
      </w:r>
      <w:r w:rsidR="000C6FE0">
        <w:rPr>
          <w:rFonts w:ascii="Public Sans" w:eastAsia="Helvetica" w:hAnsi="Public Sans" w:cs="Segoe UI"/>
        </w:rPr>
        <w:t>5.4</w:t>
      </w:r>
      <w:r w:rsidR="002948C7" w:rsidRPr="005576E4">
        <w:rPr>
          <w:rFonts w:ascii="Public Sans" w:eastAsia="Helvetica" w:hAnsi="Public Sans" w:cs="Segoe UI"/>
        </w:rPr>
        <w:t xml:space="preserve">% of the reports about older people. </w:t>
      </w:r>
    </w:p>
    <w:p w:rsidR="002948C7" w:rsidRPr="005576E4" w:rsidRDefault="002948C7" w:rsidP="002948C7">
      <w:pPr>
        <w:pStyle w:val="Body"/>
        <w:widowControl w:val="0"/>
        <w:spacing w:after="0" w:line="240" w:lineRule="auto"/>
        <w:rPr>
          <w:rFonts w:ascii="Public Sans" w:eastAsia="Helvetica" w:hAnsi="Public Sans" w:cs="Segoe UI"/>
        </w:rPr>
      </w:pPr>
      <w:r w:rsidRPr="005576E4">
        <w:rPr>
          <w:rFonts w:ascii="Public Sans" w:eastAsia="Helvetica" w:hAnsi="Public Sans" w:cs="Segoe UI"/>
        </w:rPr>
        <w:t xml:space="preserve"> </w:t>
      </w:r>
    </w:p>
    <w:p w:rsidR="002948C7" w:rsidRDefault="00234D13" w:rsidP="002948C7">
      <w:pPr>
        <w:pStyle w:val="Body"/>
        <w:widowControl w:val="0"/>
        <w:spacing w:after="0" w:line="240" w:lineRule="auto"/>
        <w:rPr>
          <w:rFonts w:ascii="Public Sans" w:eastAsia="Helvetica" w:hAnsi="Public Sans" w:cs="Segoe UI"/>
          <w:b/>
          <w:sz w:val="18"/>
        </w:rPr>
      </w:pPr>
      <w:r w:rsidRPr="008F3A10">
        <w:rPr>
          <w:rFonts w:ascii="Public Sans" w:eastAsia="Helvetica" w:hAnsi="Public Sans" w:cs="Segoe UI"/>
          <w:b/>
          <w:sz w:val="18"/>
        </w:rPr>
        <w:t>Figure 10</w:t>
      </w:r>
      <w:r w:rsidR="002948C7" w:rsidRPr="008F3A10">
        <w:rPr>
          <w:rFonts w:ascii="Public Sans" w:eastAsia="Helvetica" w:hAnsi="Public Sans" w:cs="Segoe UI"/>
          <w:b/>
          <w:sz w:val="18"/>
        </w:rPr>
        <w:t xml:space="preserve">: Relationship of the subject of allegation to the older person in reports to the ADC, </w:t>
      </w:r>
      <w:r w:rsidR="000C6FE0">
        <w:rPr>
          <w:rFonts w:ascii="Public Sans" w:eastAsia="Helvetica" w:hAnsi="Public Sans" w:cs="Segoe UI"/>
          <w:b/>
          <w:sz w:val="18"/>
        </w:rPr>
        <w:t>Oct</w:t>
      </w:r>
      <w:r w:rsidR="008F3A10">
        <w:rPr>
          <w:rFonts w:ascii="Public Sans" w:eastAsia="Helvetica" w:hAnsi="Public Sans" w:cs="Segoe UI"/>
          <w:b/>
          <w:sz w:val="18"/>
        </w:rPr>
        <w:t>-</w:t>
      </w:r>
      <w:r w:rsidR="000C6FE0">
        <w:rPr>
          <w:rFonts w:ascii="Public Sans" w:eastAsia="Helvetica" w:hAnsi="Public Sans" w:cs="Segoe UI"/>
          <w:b/>
          <w:sz w:val="18"/>
        </w:rPr>
        <w:t>Dec</w:t>
      </w:r>
      <w:r w:rsidR="002948C7" w:rsidRPr="008F3A10">
        <w:rPr>
          <w:rFonts w:ascii="Public Sans" w:eastAsia="Helvetica" w:hAnsi="Public Sans" w:cs="Segoe UI"/>
          <w:b/>
          <w:sz w:val="18"/>
        </w:rPr>
        <w:t xml:space="preserve"> 202</w:t>
      </w:r>
      <w:r w:rsidR="000774BA">
        <w:rPr>
          <w:rFonts w:ascii="Public Sans" w:eastAsia="Helvetica" w:hAnsi="Public Sans" w:cs="Segoe UI"/>
          <w:b/>
          <w:sz w:val="18"/>
        </w:rPr>
        <w:t>2</w:t>
      </w:r>
    </w:p>
    <w:p w:rsidR="000774BA" w:rsidRDefault="000C6FE0" w:rsidP="002948C7">
      <w:pPr>
        <w:pStyle w:val="Body"/>
        <w:widowControl w:val="0"/>
        <w:spacing w:after="0" w:line="240" w:lineRule="auto"/>
        <w:rPr>
          <w:rFonts w:ascii="Public Sans" w:eastAsia="Helvetica" w:hAnsi="Public Sans" w:cs="Segoe UI"/>
          <w:b/>
          <w:sz w:val="18"/>
        </w:rPr>
      </w:pPr>
      <w:r>
        <w:rPr>
          <w:noProof/>
        </w:rPr>
        <w:drawing>
          <wp:inline distT="0" distB="0" distL="0" distR="0" wp14:anchorId="5400925A" wp14:editId="3E450C86">
            <wp:extent cx="6010275" cy="255270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774BA" w:rsidRDefault="000774BA" w:rsidP="002948C7">
      <w:pPr>
        <w:pStyle w:val="Body"/>
        <w:widowControl w:val="0"/>
        <w:spacing w:after="0" w:line="240" w:lineRule="auto"/>
        <w:rPr>
          <w:rFonts w:ascii="Public Sans" w:eastAsia="Helvetica" w:hAnsi="Public Sans" w:cs="Segoe UI"/>
          <w:b/>
          <w:sz w:val="18"/>
        </w:rPr>
      </w:pPr>
    </w:p>
    <w:p w:rsidR="005E1F34" w:rsidRPr="008F3A10" w:rsidRDefault="005E1F34" w:rsidP="002948C7">
      <w:pPr>
        <w:pStyle w:val="Body"/>
        <w:widowControl w:val="0"/>
        <w:spacing w:after="0" w:line="240" w:lineRule="auto"/>
        <w:rPr>
          <w:rFonts w:ascii="Public Sans" w:eastAsia="Helvetica" w:hAnsi="Public Sans" w:cs="Segoe UI"/>
          <w:b/>
          <w:sz w:val="18"/>
        </w:rPr>
      </w:pPr>
    </w:p>
    <w:p w:rsidR="00936332" w:rsidRPr="00FE4A69" w:rsidRDefault="00936332" w:rsidP="00936332">
      <w:pPr>
        <w:pStyle w:val="Heading3"/>
        <w:spacing w:before="0"/>
        <w:rPr>
          <w:rFonts w:ascii="Public Sans" w:eastAsia="Helvetica" w:hAnsi="Public Sans"/>
          <w:b/>
          <w:color w:val="auto"/>
        </w:rPr>
      </w:pPr>
      <w:r w:rsidRPr="00FE4A69">
        <w:rPr>
          <w:rFonts w:ascii="Public Sans" w:eastAsia="Helvetica" w:hAnsi="Public Sans"/>
          <w:b/>
          <w:color w:val="auto"/>
        </w:rPr>
        <w:t>Adults with disability</w:t>
      </w:r>
    </w:p>
    <w:p w:rsidR="002948C7" w:rsidRDefault="003A1187" w:rsidP="002948C7">
      <w:pPr>
        <w:pStyle w:val="Body"/>
        <w:widowControl w:val="0"/>
        <w:spacing w:before="120" w:after="0" w:line="240" w:lineRule="auto"/>
        <w:rPr>
          <w:rFonts w:ascii="Public Sans" w:eastAsia="Helvetica" w:hAnsi="Public Sans" w:cs="Segoe UI"/>
        </w:rPr>
      </w:pPr>
      <w:r>
        <w:rPr>
          <w:rFonts w:ascii="Public Sans" w:eastAsia="Helvetica" w:hAnsi="Public Sans" w:cs="Segoe UI"/>
        </w:rPr>
        <w:t>In o</w:t>
      </w:r>
      <w:r w:rsidR="00D17C25">
        <w:rPr>
          <w:rFonts w:ascii="Public Sans" w:eastAsia="Helvetica" w:hAnsi="Public Sans" w:cs="Segoe UI"/>
        </w:rPr>
        <w:t>ne-third</w:t>
      </w:r>
      <w:r w:rsidR="002948C7" w:rsidRPr="005576E4">
        <w:rPr>
          <w:rFonts w:ascii="Public Sans" w:eastAsia="Helvetica" w:hAnsi="Public Sans" w:cs="Segoe UI"/>
        </w:rPr>
        <w:t xml:space="preserve"> (</w:t>
      </w:r>
      <w:r w:rsidR="00D17C25">
        <w:rPr>
          <w:rFonts w:ascii="Public Sans" w:eastAsia="Helvetica" w:hAnsi="Public Sans" w:cs="Segoe UI"/>
        </w:rPr>
        <w:t>3</w:t>
      </w:r>
      <w:r w:rsidR="00255082">
        <w:rPr>
          <w:rFonts w:ascii="Public Sans" w:eastAsia="Helvetica" w:hAnsi="Public Sans" w:cs="Segoe UI"/>
        </w:rPr>
        <w:t>1.</w:t>
      </w:r>
      <w:r w:rsidR="0048260A">
        <w:rPr>
          <w:rFonts w:ascii="Public Sans" w:eastAsia="Helvetica" w:hAnsi="Public Sans" w:cs="Segoe UI"/>
        </w:rPr>
        <w:t>7</w:t>
      </w:r>
      <w:r w:rsidR="002948C7" w:rsidRPr="005576E4">
        <w:rPr>
          <w:rFonts w:ascii="Public Sans" w:eastAsia="Helvetica" w:hAnsi="Public Sans" w:cs="Segoe UI"/>
        </w:rPr>
        <w:t>%) of the 2</w:t>
      </w:r>
      <w:r w:rsidR="0048260A">
        <w:rPr>
          <w:rFonts w:ascii="Public Sans" w:eastAsia="Helvetica" w:hAnsi="Public Sans" w:cs="Segoe UI"/>
        </w:rPr>
        <w:t xml:space="preserve">27 </w:t>
      </w:r>
      <w:r w:rsidR="002948C7" w:rsidRPr="005576E4">
        <w:rPr>
          <w:rFonts w:ascii="Public Sans" w:eastAsia="Helvetica" w:hAnsi="Public Sans" w:cs="Segoe UI"/>
        </w:rPr>
        <w:t xml:space="preserve">reports to the ADC about adults with disability in </w:t>
      </w:r>
      <w:r w:rsidR="0048260A">
        <w:rPr>
          <w:rFonts w:ascii="Public Sans" w:eastAsia="Helvetica" w:hAnsi="Public Sans" w:cs="Segoe UI"/>
        </w:rPr>
        <w:t>October</w:t>
      </w:r>
      <w:r w:rsidR="002948C7" w:rsidRPr="005576E4">
        <w:rPr>
          <w:rFonts w:ascii="Public Sans" w:eastAsia="Helvetica" w:hAnsi="Public Sans" w:cs="Segoe UI"/>
        </w:rPr>
        <w:t xml:space="preserve"> – </w:t>
      </w:r>
      <w:r w:rsidR="0048260A">
        <w:rPr>
          <w:rFonts w:ascii="Public Sans" w:eastAsia="Helvetica" w:hAnsi="Public Sans" w:cs="Segoe UI"/>
        </w:rPr>
        <w:t>Dec</w:t>
      </w:r>
      <w:r w:rsidR="00255082">
        <w:rPr>
          <w:rFonts w:ascii="Public Sans" w:eastAsia="Helvetica" w:hAnsi="Public Sans" w:cs="Segoe UI"/>
        </w:rPr>
        <w:t>ember</w:t>
      </w:r>
      <w:r w:rsidR="002E289F">
        <w:rPr>
          <w:rFonts w:ascii="Public Sans" w:eastAsia="Helvetica" w:hAnsi="Public Sans" w:cs="Segoe UI"/>
        </w:rPr>
        <w:t xml:space="preserve"> </w:t>
      </w:r>
      <w:r w:rsidR="002948C7" w:rsidRPr="005576E4">
        <w:rPr>
          <w:rFonts w:ascii="Public Sans" w:eastAsia="Helvetica" w:hAnsi="Public Sans" w:cs="Segoe UI"/>
        </w:rPr>
        <w:t>202</w:t>
      </w:r>
      <w:r w:rsidR="002E289F">
        <w:rPr>
          <w:rFonts w:ascii="Public Sans" w:eastAsia="Helvetica" w:hAnsi="Public Sans" w:cs="Segoe UI"/>
        </w:rPr>
        <w:t>2</w:t>
      </w:r>
      <w:r w:rsidR="002948C7" w:rsidRPr="005576E4">
        <w:rPr>
          <w:rFonts w:ascii="Public Sans" w:eastAsia="Helvetica" w:hAnsi="Public Sans" w:cs="Segoe UI"/>
        </w:rPr>
        <w:t>, the allegations pertained to the adult’s parent(s). All up, relatives</w:t>
      </w:r>
      <w:r w:rsidR="008264C8">
        <w:rPr>
          <w:rStyle w:val="FootnoteReference"/>
          <w:rFonts w:ascii="Public Sans" w:eastAsia="Helvetica" w:hAnsi="Public Sans" w:cs="Segoe UI"/>
        </w:rPr>
        <w:footnoteReference w:id="4"/>
      </w:r>
      <w:r w:rsidR="002948C7" w:rsidRPr="005576E4">
        <w:rPr>
          <w:rFonts w:ascii="Public Sans" w:eastAsia="Helvetica" w:hAnsi="Public Sans" w:cs="Segoe UI"/>
        </w:rPr>
        <w:t xml:space="preserve"> were the subjects of allegation in </w:t>
      </w:r>
      <w:r w:rsidR="0048260A">
        <w:rPr>
          <w:rFonts w:ascii="Public Sans" w:eastAsia="Helvetica" w:hAnsi="Public Sans" w:cs="Segoe UI"/>
        </w:rPr>
        <w:t>48.9</w:t>
      </w:r>
      <w:r w:rsidR="002948C7" w:rsidRPr="005576E4">
        <w:rPr>
          <w:rFonts w:ascii="Public Sans" w:eastAsia="Helvetica" w:hAnsi="Public Sans" w:cs="Segoe UI"/>
        </w:rPr>
        <w:t>% of the reports about adults with disability</w:t>
      </w:r>
      <w:r w:rsidR="000A2F1A">
        <w:rPr>
          <w:rFonts w:ascii="Public Sans" w:eastAsia="Helvetica" w:hAnsi="Public Sans" w:cs="Segoe UI"/>
        </w:rPr>
        <w:t xml:space="preserve"> </w:t>
      </w:r>
      <w:r w:rsidR="002948C7" w:rsidRPr="005576E4">
        <w:rPr>
          <w:rFonts w:ascii="Public Sans" w:eastAsia="Helvetica" w:hAnsi="Public Sans" w:cs="Segoe UI"/>
        </w:rPr>
        <w:t xml:space="preserve">in this quarter. In </w:t>
      </w:r>
      <w:r w:rsidR="0048260A">
        <w:rPr>
          <w:rFonts w:ascii="Public Sans" w:eastAsia="Helvetica" w:hAnsi="Public Sans" w:cs="Segoe UI"/>
        </w:rPr>
        <w:t>11.5</w:t>
      </w:r>
      <w:r w:rsidR="002948C7" w:rsidRPr="005576E4">
        <w:rPr>
          <w:rFonts w:ascii="Public Sans" w:eastAsia="Helvetica" w:hAnsi="Public Sans" w:cs="Segoe UI"/>
        </w:rPr>
        <w:t xml:space="preserve">% of matters, the adult’s spouse or partner (or ex-spouse/partner) was the subject of the allegations. </w:t>
      </w:r>
    </w:p>
    <w:p w:rsidR="002948C7" w:rsidRPr="005576E4" w:rsidRDefault="002948C7" w:rsidP="002948C7">
      <w:pPr>
        <w:pStyle w:val="Body"/>
        <w:widowControl w:val="0"/>
        <w:spacing w:after="0" w:line="240" w:lineRule="auto"/>
        <w:rPr>
          <w:rFonts w:ascii="Public Sans" w:eastAsia="Helvetica" w:hAnsi="Public Sans" w:cs="Segoe UI"/>
          <w:sz w:val="20"/>
        </w:rPr>
      </w:pPr>
    </w:p>
    <w:p w:rsidR="002948C7" w:rsidRDefault="002948C7" w:rsidP="002948C7">
      <w:pPr>
        <w:pStyle w:val="Body"/>
        <w:widowControl w:val="0"/>
        <w:spacing w:after="0" w:line="240" w:lineRule="auto"/>
        <w:rPr>
          <w:rFonts w:ascii="Public Sans" w:eastAsia="Helvetica" w:hAnsi="Public Sans" w:cs="Segoe UI"/>
          <w:b/>
          <w:sz w:val="18"/>
        </w:rPr>
      </w:pPr>
      <w:r w:rsidRPr="00D51AA9">
        <w:rPr>
          <w:rFonts w:ascii="Public Sans" w:eastAsia="Helvetica" w:hAnsi="Public Sans" w:cs="Segoe UI"/>
          <w:b/>
          <w:sz w:val="18"/>
        </w:rPr>
        <w:t xml:space="preserve">Figure </w:t>
      </w:r>
      <w:r w:rsidR="00234D13" w:rsidRPr="00D51AA9">
        <w:rPr>
          <w:rFonts w:ascii="Public Sans" w:eastAsia="Helvetica" w:hAnsi="Public Sans" w:cs="Segoe UI"/>
          <w:b/>
          <w:sz w:val="18"/>
        </w:rPr>
        <w:t>11</w:t>
      </w:r>
      <w:r w:rsidRPr="00D51AA9">
        <w:rPr>
          <w:rFonts w:ascii="Public Sans" w:eastAsia="Helvetica" w:hAnsi="Public Sans" w:cs="Segoe UI"/>
          <w:b/>
          <w:sz w:val="18"/>
        </w:rPr>
        <w:t>: Relationship of the subject of allegation to the adult with disability in reports to the ADC,</w:t>
      </w:r>
      <w:r w:rsidR="00D17C25">
        <w:rPr>
          <w:rFonts w:ascii="Public Sans" w:eastAsia="Helvetica" w:hAnsi="Public Sans" w:cs="Segoe UI"/>
          <w:b/>
          <w:sz w:val="18"/>
        </w:rPr>
        <w:t xml:space="preserve"> </w:t>
      </w:r>
      <w:r w:rsidR="000C6FE0">
        <w:rPr>
          <w:rFonts w:ascii="Public Sans" w:eastAsia="Helvetica" w:hAnsi="Public Sans" w:cs="Segoe UI"/>
          <w:b/>
          <w:sz w:val="18"/>
        </w:rPr>
        <w:t>Oct</w:t>
      </w:r>
      <w:r w:rsidR="00D51AA9">
        <w:rPr>
          <w:rFonts w:ascii="Public Sans" w:eastAsia="Helvetica" w:hAnsi="Public Sans" w:cs="Segoe UI"/>
          <w:b/>
          <w:sz w:val="18"/>
        </w:rPr>
        <w:t>-</w:t>
      </w:r>
      <w:r w:rsidR="000C6FE0">
        <w:rPr>
          <w:rFonts w:ascii="Public Sans" w:eastAsia="Helvetica" w:hAnsi="Public Sans" w:cs="Segoe UI"/>
          <w:b/>
          <w:sz w:val="18"/>
        </w:rPr>
        <w:t>Dec</w:t>
      </w:r>
      <w:r w:rsidRPr="00D51AA9">
        <w:rPr>
          <w:rFonts w:ascii="Public Sans" w:eastAsia="Helvetica" w:hAnsi="Public Sans" w:cs="Segoe UI"/>
          <w:b/>
          <w:sz w:val="18"/>
        </w:rPr>
        <w:t xml:space="preserve"> 202</w:t>
      </w:r>
      <w:r w:rsidR="002E289F">
        <w:rPr>
          <w:rFonts w:ascii="Public Sans" w:eastAsia="Helvetica" w:hAnsi="Public Sans" w:cs="Segoe UI"/>
          <w:b/>
          <w:sz w:val="18"/>
        </w:rPr>
        <w:t>2</w:t>
      </w:r>
    </w:p>
    <w:p w:rsidR="002E289F" w:rsidRDefault="0048260A" w:rsidP="002948C7">
      <w:pPr>
        <w:pStyle w:val="Body"/>
        <w:widowControl w:val="0"/>
        <w:spacing w:after="0" w:line="240" w:lineRule="auto"/>
        <w:rPr>
          <w:rFonts w:ascii="Public Sans" w:eastAsia="Helvetica" w:hAnsi="Public Sans" w:cs="Segoe UI"/>
          <w:b/>
          <w:sz w:val="18"/>
        </w:rPr>
      </w:pPr>
      <w:r>
        <w:rPr>
          <w:noProof/>
        </w:rPr>
        <w:drawing>
          <wp:inline distT="0" distB="0" distL="0" distR="0" wp14:anchorId="14021720" wp14:editId="7218D24C">
            <wp:extent cx="6000750" cy="2581275"/>
            <wp:effectExtent l="0" t="0" r="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E289F" w:rsidRPr="00D51AA9" w:rsidRDefault="002E289F" w:rsidP="002948C7">
      <w:pPr>
        <w:pStyle w:val="Body"/>
        <w:widowControl w:val="0"/>
        <w:spacing w:after="0" w:line="240" w:lineRule="auto"/>
        <w:rPr>
          <w:rFonts w:ascii="Public Sans" w:eastAsia="Helvetica" w:hAnsi="Public Sans" w:cs="Segoe UI"/>
          <w:b/>
          <w:sz w:val="18"/>
        </w:rPr>
      </w:pPr>
    </w:p>
    <w:p w:rsidR="0099621D" w:rsidRDefault="0099621D" w:rsidP="009721C6">
      <w:pPr>
        <w:spacing w:after="0" w:line="240" w:lineRule="auto"/>
        <w:rPr>
          <w:rFonts w:ascii="Public Sans" w:hAnsi="Public Sans"/>
          <w:sz w:val="20"/>
        </w:rPr>
      </w:pPr>
    </w:p>
    <w:p w:rsidR="007B744A" w:rsidRPr="00E550C7" w:rsidRDefault="007B744A" w:rsidP="009721C6">
      <w:pPr>
        <w:spacing w:after="0" w:line="240" w:lineRule="auto"/>
        <w:rPr>
          <w:rFonts w:ascii="Public Sans" w:hAnsi="Public Sans"/>
          <w:sz w:val="20"/>
        </w:rPr>
      </w:pPr>
    </w:p>
    <w:p w:rsidR="00E403D8" w:rsidRPr="00771917" w:rsidRDefault="00E403D8" w:rsidP="00E134D4">
      <w:pPr>
        <w:pStyle w:val="Heading1"/>
        <w:keepNext w:val="0"/>
        <w:keepLines w:val="0"/>
        <w:widowControl w:val="0"/>
        <w:numPr>
          <w:ilvl w:val="0"/>
          <w:numId w:val="10"/>
        </w:numPr>
        <w:spacing w:before="0" w:after="0"/>
        <w:ind w:left="426" w:hanging="426"/>
        <w:rPr>
          <w:rFonts w:ascii="Public Sans" w:hAnsi="Public Sans" w:cs="Segoe UI"/>
          <w:b/>
          <w:color w:val="auto"/>
        </w:rPr>
      </w:pPr>
      <w:r w:rsidRPr="00771917">
        <w:rPr>
          <w:rFonts w:ascii="Public Sans" w:hAnsi="Public Sans" w:cs="Segoe UI"/>
          <w:b/>
          <w:color w:val="auto"/>
        </w:rPr>
        <w:t>Type of alleged abuse</w:t>
      </w:r>
    </w:p>
    <w:p w:rsidR="00584B4E" w:rsidRPr="00771917" w:rsidRDefault="00075101" w:rsidP="009A2E70">
      <w:pPr>
        <w:pStyle w:val="Body"/>
        <w:widowControl w:val="0"/>
        <w:spacing w:before="120" w:after="0" w:line="240" w:lineRule="auto"/>
        <w:rPr>
          <w:rFonts w:ascii="Public Sans" w:eastAsia="Helvetica" w:hAnsi="Public Sans" w:cs="Segoe UI"/>
          <w:color w:val="auto"/>
        </w:rPr>
      </w:pPr>
      <w:r w:rsidRPr="00771917">
        <w:rPr>
          <w:rFonts w:ascii="Public Sans" w:eastAsia="Helvetica" w:hAnsi="Public Sans" w:cs="Segoe UI"/>
          <w:color w:val="auto"/>
        </w:rPr>
        <w:t xml:space="preserve">Most </w:t>
      </w:r>
      <w:r w:rsidR="00E403D8" w:rsidRPr="00771917">
        <w:rPr>
          <w:rFonts w:ascii="Public Sans" w:eastAsia="Helvetica" w:hAnsi="Public Sans" w:cs="Segoe UI"/>
          <w:color w:val="auto"/>
        </w:rPr>
        <w:t>report</w:t>
      </w:r>
      <w:r w:rsidRPr="00771917">
        <w:rPr>
          <w:rFonts w:ascii="Public Sans" w:eastAsia="Helvetica" w:hAnsi="Public Sans" w:cs="Segoe UI"/>
          <w:color w:val="auto"/>
        </w:rPr>
        <w:t>s</w:t>
      </w:r>
      <w:r w:rsidR="00E403D8" w:rsidRPr="00771917">
        <w:rPr>
          <w:rFonts w:ascii="Public Sans" w:eastAsia="Helvetica" w:hAnsi="Public Sans" w:cs="Segoe UI"/>
          <w:color w:val="auto"/>
        </w:rPr>
        <w:t xml:space="preserve"> to the ADC involve more than one type of abuse. </w:t>
      </w:r>
    </w:p>
    <w:p w:rsidR="00576B62" w:rsidRPr="00E550C7" w:rsidRDefault="00576B62" w:rsidP="007A4BC6">
      <w:pPr>
        <w:spacing w:after="0" w:line="240" w:lineRule="auto"/>
        <w:rPr>
          <w:rFonts w:ascii="Public Sans" w:hAnsi="Public Sans"/>
          <w:sz w:val="20"/>
        </w:rPr>
      </w:pPr>
    </w:p>
    <w:p w:rsidR="00584B4E" w:rsidRPr="00771917" w:rsidRDefault="00584B4E" w:rsidP="007A4BC6">
      <w:pPr>
        <w:pStyle w:val="Heading3"/>
        <w:spacing w:before="0"/>
        <w:rPr>
          <w:rFonts w:ascii="Public Sans" w:eastAsia="Helvetica" w:hAnsi="Public Sans"/>
          <w:b/>
          <w:color w:val="auto"/>
        </w:rPr>
      </w:pPr>
      <w:r w:rsidRPr="00771917">
        <w:rPr>
          <w:rFonts w:ascii="Public Sans" w:eastAsia="Helvetica" w:hAnsi="Public Sans"/>
          <w:b/>
          <w:color w:val="auto"/>
        </w:rPr>
        <w:t>Older people</w:t>
      </w:r>
    </w:p>
    <w:p w:rsidR="002F5F44" w:rsidRPr="005576E4" w:rsidRDefault="0036129A" w:rsidP="002F5F44">
      <w:pPr>
        <w:pStyle w:val="Body"/>
        <w:widowControl w:val="0"/>
        <w:spacing w:before="120" w:after="0" w:line="240" w:lineRule="auto"/>
        <w:rPr>
          <w:rFonts w:ascii="Public Sans" w:eastAsia="Helvetica" w:hAnsi="Public Sans" w:cs="Segoe UI"/>
        </w:rPr>
      </w:pPr>
      <w:r>
        <w:rPr>
          <w:rFonts w:ascii="Public Sans" w:eastAsia="Helvetica" w:hAnsi="Public Sans" w:cs="Segoe UI"/>
        </w:rPr>
        <w:t>Consistent with previous quarters, t</w:t>
      </w:r>
      <w:r w:rsidR="002F5F44" w:rsidRPr="005576E4">
        <w:rPr>
          <w:rFonts w:ascii="Public Sans" w:eastAsia="Helvetica" w:hAnsi="Public Sans" w:cs="Segoe UI"/>
        </w:rPr>
        <w:t xml:space="preserve">he most commonly reported types of alleged abuse in relation to older people in </w:t>
      </w:r>
      <w:r>
        <w:rPr>
          <w:rFonts w:ascii="Public Sans" w:eastAsia="Helvetica" w:hAnsi="Public Sans" w:cs="Segoe UI"/>
        </w:rPr>
        <w:t>October</w:t>
      </w:r>
      <w:r w:rsidR="0082703B">
        <w:rPr>
          <w:rFonts w:ascii="Public Sans" w:eastAsia="Helvetica" w:hAnsi="Public Sans" w:cs="Segoe UI"/>
        </w:rPr>
        <w:t xml:space="preserve"> </w:t>
      </w:r>
      <w:r w:rsidR="002F5F44" w:rsidRPr="005576E4">
        <w:rPr>
          <w:rFonts w:ascii="Public Sans" w:eastAsia="Helvetica" w:hAnsi="Public Sans" w:cs="Segoe UI"/>
        </w:rPr>
        <w:t xml:space="preserve">– </w:t>
      </w:r>
      <w:r>
        <w:rPr>
          <w:rFonts w:ascii="Public Sans" w:eastAsia="Helvetica" w:hAnsi="Public Sans" w:cs="Segoe UI"/>
        </w:rPr>
        <w:t>Dec</w:t>
      </w:r>
      <w:r w:rsidR="00CC0068">
        <w:rPr>
          <w:rFonts w:ascii="Public Sans" w:eastAsia="Helvetica" w:hAnsi="Public Sans" w:cs="Segoe UI"/>
        </w:rPr>
        <w:t>ember</w:t>
      </w:r>
      <w:r w:rsidR="002F5F44" w:rsidRPr="005576E4">
        <w:rPr>
          <w:rFonts w:ascii="Public Sans" w:eastAsia="Helvetica" w:hAnsi="Public Sans" w:cs="Segoe UI"/>
        </w:rPr>
        <w:t xml:space="preserve"> 202</w:t>
      </w:r>
      <w:r w:rsidR="003B64C2">
        <w:rPr>
          <w:rFonts w:ascii="Public Sans" w:eastAsia="Helvetica" w:hAnsi="Public Sans" w:cs="Segoe UI"/>
        </w:rPr>
        <w:t>2</w:t>
      </w:r>
      <w:r w:rsidR="002F5F44" w:rsidRPr="005576E4">
        <w:rPr>
          <w:rFonts w:ascii="Public Sans" w:eastAsia="Helvetica" w:hAnsi="Public Sans" w:cs="Segoe UI"/>
        </w:rPr>
        <w:t xml:space="preserve"> were psychological abuse and </w:t>
      </w:r>
      <w:r w:rsidR="00537A2D">
        <w:rPr>
          <w:rFonts w:ascii="Public Sans" w:eastAsia="Helvetica" w:hAnsi="Public Sans" w:cs="Segoe UI"/>
        </w:rPr>
        <w:t>financial abuse</w:t>
      </w:r>
      <w:r w:rsidR="002F5F44" w:rsidRPr="005576E4">
        <w:rPr>
          <w:rFonts w:ascii="Public Sans" w:eastAsia="Helvetica" w:hAnsi="Public Sans" w:cs="Segoe UI"/>
        </w:rPr>
        <w:t xml:space="preserve">. </w:t>
      </w:r>
    </w:p>
    <w:p w:rsidR="002F5F44" w:rsidRPr="005576E4" w:rsidRDefault="002F5F44" w:rsidP="002F5F44">
      <w:pPr>
        <w:pStyle w:val="Body"/>
        <w:widowControl w:val="0"/>
        <w:spacing w:after="0" w:line="240" w:lineRule="auto"/>
        <w:rPr>
          <w:rFonts w:ascii="Public Sans" w:eastAsia="Helvetica" w:hAnsi="Public Sans" w:cs="Segoe UI"/>
          <w:sz w:val="20"/>
        </w:rPr>
      </w:pPr>
    </w:p>
    <w:p w:rsidR="002F5F44" w:rsidRDefault="00234D13" w:rsidP="002F5F44">
      <w:pPr>
        <w:pStyle w:val="Body"/>
        <w:widowControl w:val="0"/>
        <w:spacing w:after="0" w:line="240" w:lineRule="auto"/>
        <w:rPr>
          <w:rFonts w:ascii="Public Sans" w:eastAsia="Helvetica" w:hAnsi="Public Sans" w:cs="Segoe UI"/>
          <w:b/>
          <w:sz w:val="18"/>
        </w:rPr>
      </w:pPr>
      <w:r w:rsidRPr="000E2FD4">
        <w:rPr>
          <w:rFonts w:ascii="Public Sans" w:eastAsia="Helvetica" w:hAnsi="Public Sans" w:cs="Segoe UI"/>
          <w:b/>
          <w:sz w:val="18"/>
        </w:rPr>
        <w:t>Figure 12</w:t>
      </w:r>
      <w:r w:rsidR="002F5F44" w:rsidRPr="000E2FD4">
        <w:rPr>
          <w:rFonts w:ascii="Public Sans" w:eastAsia="Helvetica" w:hAnsi="Public Sans" w:cs="Segoe UI"/>
          <w:b/>
          <w:sz w:val="18"/>
        </w:rPr>
        <w:t xml:space="preserve">: Number of allegations in reports to the ADC about older people, by abuse type, </w:t>
      </w:r>
      <w:r w:rsidR="0036129A">
        <w:rPr>
          <w:rFonts w:ascii="Public Sans" w:eastAsia="Helvetica" w:hAnsi="Public Sans" w:cs="Segoe UI"/>
          <w:b/>
          <w:sz w:val="18"/>
        </w:rPr>
        <w:t>Oct</w:t>
      </w:r>
      <w:r w:rsidR="000E2FD4">
        <w:rPr>
          <w:rFonts w:ascii="Public Sans" w:eastAsia="Helvetica" w:hAnsi="Public Sans" w:cs="Segoe UI"/>
          <w:b/>
          <w:sz w:val="18"/>
        </w:rPr>
        <w:t>-</w:t>
      </w:r>
      <w:r w:rsidR="0036129A">
        <w:rPr>
          <w:rFonts w:ascii="Public Sans" w:eastAsia="Helvetica" w:hAnsi="Public Sans" w:cs="Segoe UI"/>
          <w:b/>
          <w:sz w:val="18"/>
        </w:rPr>
        <w:t>Dec</w:t>
      </w:r>
      <w:r w:rsidR="002F5F44" w:rsidRPr="000E2FD4">
        <w:rPr>
          <w:rFonts w:ascii="Public Sans" w:eastAsia="Helvetica" w:hAnsi="Public Sans" w:cs="Segoe UI"/>
          <w:b/>
          <w:sz w:val="18"/>
        </w:rPr>
        <w:t xml:space="preserve"> 202</w:t>
      </w:r>
      <w:r w:rsidR="003B64C2">
        <w:rPr>
          <w:rFonts w:ascii="Public Sans" w:eastAsia="Helvetica" w:hAnsi="Public Sans" w:cs="Segoe UI"/>
          <w:b/>
          <w:sz w:val="18"/>
        </w:rPr>
        <w:t>2</w:t>
      </w:r>
    </w:p>
    <w:p w:rsidR="003B64C2" w:rsidRDefault="0036129A" w:rsidP="002F5F44">
      <w:pPr>
        <w:pStyle w:val="Body"/>
        <w:widowControl w:val="0"/>
        <w:spacing w:after="0" w:line="240" w:lineRule="auto"/>
        <w:rPr>
          <w:rFonts w:ascii="Public Sans" w:eastAsia="Helvetica" w:hAnsi="Public Sans" w:cs="Segoe UI"/>
          <w:b/>
          <w:sz w:val="18"/>
        </w:rPr>
      </w:pPr>
      <w:r>
        <w:rPr>
          <w:noProof/>
        </w:rPr>
        <w:lastRenderedPageBreak/>
        <w:drawing>
          <wp:inline distT="0" distB="0" distL="0" distR="0" wp14:anchorId="74AA18D0" wp14:editId="1DF3A6EB">
            <wp:extent cx="6000750" cy="15240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B64C2" w:rsidRPr="000E2FD4" w:rsidRDefault="003B64C2" w:rsidP="002F5F44">
      <w:pPr>
        <w:pStyle w:val="Body"/>
        <w:widowControl w:val="0"/>
        <w:spacing w:after="0" w:line="240" w:lineRule="auto"/>
        <w:rPr>
          <w:rFonts w:ascii="Public Sans" w:eastAsia="Helvetica" w:hAnsi="Public Sans" w:cs="Segoe UI"/>
          <w:b/>
          <w:sz w:val="18"/>
        </w:rPr>
      </w:pPr>
    </w:p>
    <w:p w:rsidR="00F372AD" w:rsidRDefault="00F372AD" w:rsidP="002F5F44">
      <w:pPr>
        <w:pStyle w:val="Body"/>
        <w:widowControl w:val="0"/>
        <w:spacing w:after="0" w:line="240" w:lineRule="auto"/>
        <w:rPr>
          <w:rFonts w:ascii="Public Sans" w:eastAsia="Helvetica" w:hAnsi="Public Sans" w:cs="Segoe UI"/>
          <w:b/>
          <w:sz w:val="18"/>
        </w:rPr>
      </w:pPr>
    </w:p>
    <w:p w:rsidR="002F5F44" w:rsidRPr="00AC1BF2" w:rsidRDefault="002F5F44" w:rsidP="002F5F44">
      <w:pPr>
        <w:pStyle w:val="Body"/>
        <w:widowControl w:val="0"/>
        <w:spacing w:after="0" w:line="240" w:lineRule="auto"/>
        <w:rPr>
          <w:rFonts w:ascii="Public Sans" w:eastAsia="Helvetica" w:hAnsi="Public Sans" w:cs="Segoe UI"/>
          <w:b/>
          <w:sz w:val="18"/>
        </w:rPr>
      </w:pPr>
      <w:r w:rsidRPr="00AC1BF2">
        <w:rPr>
          <w:rFonts w:ascii="Public Sans" w:eastAsia="Helvetica" w:hAnsi="Public Sans" w:cs="Segoe UI"/>
          <w:b/>
          <w:sz w:val="18"/>
        </w:rPr>
        <w:t xml:space="preserve">Table </w:t>
      </w:r>
      <w:r w:rsidR="00234D13" w:rsidRPr="00AC1BF2">
        <w:rPr>
          <w:rFonts w:ascii="Public Sans" w:eastAsia="Helvetica" w:hAnsi="Public Sans" w:cs="Segoe UI"/>
          <w:b/>
          <w:sz w:val="18"/>
        </w:rPr>
        <w:t>5</w:t>
      </w:r>
      <w:r w:rsidRPr="00AC1BF2">
        <w:rPr>
          <w:rFonts w:ascii="Public Sans" w:eastAsia="Helvetica" w:hAnsi="Public Sans" w:cs="Segoe UI"/>
          <w:b/>
          <w:sz w:val="18"/>
        </w:rPr>
        <w:t xml:space="preserve">: Type of alleged abuse of the older person in reports to the ADC, </w:t>
      </w:r>
      <w:r w:rsidR="0036129A">
        <w:rPr>
          <w:rFonts w:ascii="Public Sans" w:eastAsia="Helvetica" w:hAnsi="Public Sans" w:cs="Segoe UI"/>
          <w:b/>
          <w:sz w:val="18"/>
        </w:rPr>
        <w:t>Oct</w:t>
      </w:r>
      <w:r w:rsidR="0082703B">
        <w:rPr>
          <w:rFonts w:ascii="Public Sans" w:eastAsia="Helvetica" w:hAnsi="Public Sans" w:cs="Segoe UI"/>
          <w:b/>
          <w:sz w:val="18"/>
        </w:rPr>
        <w:t>-</w:t>
      </w:r>
      <w:r w:rsidR="0036129A">
        <w:rPr>
          <w:rFonts w:ascii="Public Sans" w:eastAsia="Helvetica" w:hAnsi="Public Sans" w:cs="Segoe UI"/>
          <w:b/>
          <w:sz w:val="18"/>
        </w:rPr>
        <w:t>Dec</w:t>
      </w:r>
      <w:r w:rsidRPr="00AC1BF2">
        <w:rPr>
          <w:rFonts w:ascii="Public Sans" w:eastAsia="Helvetica" w:hAnsi="Public Sans" w:cs="Segoe UI"/>
          <w:b/>
          <w:sz w:val="18"/>
        </w:rPr>
        <w:t xml:space="preserve"> 202</w:t>
      </w:r>
      <w:r w:rsidR="00BD51BE">
        <w:rPr>
          <w:rFonts w:ascii="Public Sans" w:eastAsia="Helvetica" w:hAnsi="Public Sans" w:cs="Segoe UI"/>
          <w:b/>
          <w:sz w:val="18"/>
        </w:rPr>
        <w:t>2</w:t>
      </w:r>
      <w:r w:rsidRPr="00AC1BF2">
        <w:rPr>
          <w:rStyle w:val="FootnoteReference"/>
          <w:rFonts w:ascii="Public Sans" w:eastAsia="Helvetica" w:hAnsi="Public Sans" w:cs="Segoe UI"/>
          <w:b/>
          <w:sz w:val="18"/>
        </w:rPr>
        <w:footnoteReference w:id="5"/>
      </w:r>
    </w:p>
    <w:tbl>
      <w:tblPr>
        <w:tblStyle w:val="TableGrid"/>
        <w:tblW w:w="0" w:type="auto"/>
        <w:tblLook w:val="04A0" w:firstRow="1" w:lastRow="0" w:firstColumn="1" w:lastColumn="0" w:noHBand="0" w:noVBand="1"/>
      </w:tblPr>
      <w:tblGrid>
        <w:gridCol w:w="6938"/>
        <w:gridCol w:w="1345"/>
        <w:gridCol w:w="1345"/>
      </w:tblGrid>
      <w:tr w:rsidR="002F5F44" w:rsidRPr="005576E4" w:rsidTr="0082703B">
        <w:tc>
          <w:tcPr>
            <w:tcW w:w="6938" w:type="dxa"/>
            <w:shd w:val="clear" w:color="auto" w:fill="A5CCDF"/>
          </w:tcPr>
          <w:p w:rsidR="002F5F44" w:rsidRPr="005576E4" w:rsidRDefault="002F5F44" w:rsidP="0064341B">
            <w:pPr>
              <w:widowControl w:val="0"/>
              <w:spacing w:after="0" w:line="240" w:lineRule="auto"/>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Type of alleged abuse</w:t>
            </w:r>
          </w:p>
        </w:tc>
        <w:tc>
          <w:tcPr>
            <w:tcW w:w="1345" w:type="dxa"/>
            <w:shd w:val="clear" w:color="auto" w:fill="A5CCDF"/>
          </w:tcPr>
          <w:p w:rsidR="002F5F44" w:rsidRPr="005576E4" w:rsidRDefault="002F5F44" w:rsidP="0064341B">
            <w:pPr>
              <w:widowControl w:val="0"/>
              <w:spacing w:after="0" w:line="240" w:lineRule="auto"/>
              <w:jc w:val="right"/>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Number of allegations</w:t>
            </w:r>
          </w:p>
        </w:tc>
        <w:tc>
          <w:tcPr>
            <w:tcW w:w="1345" w:type="dxa"/>
            <w:shd w:val="clear" w:color="auto" w:fill="A5CCDF"/>
          </w:tcPr>
          <w:p w:rsidR="002F5F44" w:rsidRPr="005576E4" w:rsidRDefault="002F5F44" w:rsidP="0064341B">
            <w:pPr>
              <w:widowControl w:val="0"/>
              <w:spacing w:after="0" w:line="240" w:lineRule="auto"/>
              <w:jc w:val="right"/>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 of all allegations</w:t>
            </w:r>
          </w:p>
        </w:tc>
      </w:tr>
      <w:tr w:rsidR="002F5F44" w:rsidRPr="005576E4" w:rsidTr="0082703B">
        <w:tc>
          <w:tcPr>
            <w:tcW w:w="6938" w:type="dxa"/>
          </w:tcPr>
          <w:p w:rsidR="002F5F44" w:rsidRPr="005576E4" w:rsidRDefault="002F5F44" w:rsidP="0064341B">
            <w:pPr>
              <w:widowControl w:val="0"/>
              <w:spacing w:after="0" w:line="240" w:lineRule="auto"/>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 xml:space="preserve">Psychological abuse </w:t>
            </w:r>
          </w:p>
          <w:p w:rsidR="002F5F44" w:rsidRPr="005576E4" w:rsidRDefault="002F5F44" w:rsidP="0064341B">
            <w:pPr>
              <w:widowControl w:val="0"/>
              <w:spacing w:after="0" w:line="240" w:lineRule="auto"/>
              <w:rPr>
                <w:rFonts w:ascii="Public Sans" w:eastAsia="Times New Roman" w:hAnsi="Public Sans" w:cs="Segoe UI"/>
                <w:color w:val="000000"/>
                <w:sz w:val="21"/>
                <w:szCs w:val="21"/>
                <w:u w:color="000000"/>
              </w:rPr>
            </w:pPr>
          </w:p>
          <w:p w:rsidR="002F5F44" w:rsidRPr="005576E4" w:rsidRDefault="002F5F44" w:rsidP="0064341B">
            <w:pPr>
              <w:widowControl w:val="0"/>
              <w:spacing w:after="0" w:line="240" w:lineRule="auto"/>
              <w:rPr>
                <w:rFonts w:ascii="Public Sans" w:eastAsia="Times New Roman" w:hAnsi="Public Sans" w:cs="Segoe UI"/>
                <w:color w:val="000000"/>
                <w:sz w:val="21"/>
                <w:szCs w:val="21"/>
                <w:u w:color="000000"/>
              </w:rPr>
            </w:pPr>
            <w:r w:rsidRPr="005576E4">
              <w:rPr>
                <w:rFonts w:ascii="Public Sans" w:eastAsia="Times New Roman" w:hAnsi="Public Sans" w:cs="Segoe UI"/>
                <w:color w:val="000000"/>
                <w:sz w:val="21"/>
                <w:szCs w:val="21"/>
                <w:u w:color="000000"/>
              </w:rPr>
              <w:t>(Mainly verbal abuse; and preventing or restricting access to family/others)</w:t>
            </w:r>
          </w:p>
        </w:tc>
        <w:tc>
          <w:tcPr>
            <w:tcW w:w="1345" w:type="dxa"/>
          </w:tcPr>
          <w:p w:rsidR="002F5F44" w:rsidRPr="005576E4" w:rsidRDefault="0036129A" w:rsidP="0064341B">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428</w:t>
            </w:r>
          </w:p>
        </w:tc>
        <w:tc>
          <w:tcPr>
            <w:tcW w:w="1345" w:type="dxa"/>
          </w:tcPr>
          <w:p w:rsidR="002F5F44" w:rsidRPr="005576E4" w:rsidRDefault="0036129A" w:rsidP="00FD6731">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41.8</w:t>
            </w:r>
          </w:p>
        </w:tc>
      </w:tr>
      <w:tr w:rsidR="00537A2D" w:rsidRPr="005576E4" w:rsidTr="0082703B">
        <w:tc>
          <w:tcPr>
            <w:tcW w:w="6938" w:type="dxa"/>
          </w:tcPr>
          <w:p w:rsidR="00537A2D" w:rsidRPr="005576E4" w:rsidRDefault="00537A2D" w:rsidP="00537A2D">
            <w:pPr>
              <w:widowControl w:val="0"/>
              <w:spacing w:after="0" w:line="240" w:lineRule="auto"/>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Financial abuse</w:t>
            </w:r>
          </w:p>
          <w:p w:rsidR="00537A2D" w:rsidRPr="005576E4" w:rsidRDefault="00537A2D" w:rsidP="00537A2D">
            <w:pPr>
              <w:widowControl w:val="0"/>
              <w:spacing w:after="0" w:line="240" w:lineRule="auto"/>
              <w:rPr>
                <w:rFonts w:ascii="Public Sans" w:eastAsia="Times New Roman" w:hAnsi="Public Sans" w:cs="Segoe UI"/>
                <w:color w:val="000000"/>
                <w:sz w:val="21"/>
                <w:szCs w:val="21"/>
                <w:u w:color="000000"/>
              </w:rPr>
            </w:pPr>
          </w:p>
          <w:p w:rsidR="00537A2D" w:rsidRPr="005576E4" w:rsidRDefault="00537A2D" w:rsidP="00537A2D">
            <w:pPr>
              <w:widowControl w:val="0"/>
              <w:spacing w:after="0" w:line="240" w:lineRule="auto"/>
              <w:rPr>
                <w:rFonts w:ascii="Public Sans" w:eastAsia="Times New Roman" w:hAnsi="Public Sans" w:cs="Segoe UI"/>
                <w:color w:val="000000"/>
                <w:sz w:val="21"/>
                <w:szCs w:val="21"/>
                <w:u w:color="000000"/>
              </w:rPr>
            </w:pPr>
            <w:r w:rsidRPr="005576E4">
              <w:rPr>
                <w:rFonts w:ascii="Public Sans" w:eastAsia="Times New Roman" w:hAnsi="Public Sans" w:cs="Segoe UI"/>
                <w:color w:val="000000"/>
                <w:sz w:val="21"/>
                <w:szCs w:val="21"/>
                <w:u w:color="000000"/>
              </w:rPr>
              <w:t xml:space="preserve">(Mainly financial exploitation; </w:t>
            </w:r>
            <w:r w:rsidR="00317399">
              <w:rPr>
                <w:rFonts w:ascii="Public Sans" w:eastAsia="Times New Roman" w:hAnsi="Public Sans" w:cs="Segoe UI"/>
                <w:color w:val="000000"/>
                <w:sz w:val="21"/>
                <w:szCs w:val="21"/>
                <w:u w:color="000000"/>
              </w:rPr>
              <w:t xml:space="preserve">theft; </w:t>
            </w:r>
            <w:r w:rsidRPr="005576E4">
              <w:rPr>
                <w:rFonts w:ascii="Public Sans" w:eastAsia="Times New Roman" w:hAnsi="Public Sans" w:cs="Segoe UI"/>
                <w:color w:val="000000"/>
                <w:sz w:val="21"/>
                <w:szCs w:val="21"/>
                <w:u w:color="000000"/>
              </w:rPr>
              <w:t>and misuse of Power of Attorney/ Enduring POA)</w:t>
            </w:r>
          </w:p>
        </w:tc>
        <w:tc>
          <w:tcPr>
            <w:tcW w:w="1345" w:type="dxa"/>
          </w:tcPr>
          <w:p w:rsidR="00537A2D" w:rsidRPr="005576E4" w:rsidRDefault="0036129A" w:rsidP="00537A2D">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291</w:t>
            </w:r>
          </w:p>
        </w:tc>
        <w:tc>
          <w:tcPr>
            <w:tcW w:w="1345" w:type="dxa"/>
          </w:tcPr>
          <w:p w:rsidR="00537A2D" w:rsidRPr="005576E4" w:rsidRDefault="0036129A" w:rsidP="00537A2D">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28.4</w:t>
            </w:r>
          </w:p>
        </w:tc>
      </w:tr>
      <w:tr w:rsidR="0082703B" w:rsidRPr="005576E4" w:rsidTr="0082703B">
        <w:tc>
          <w:tcPr>
            <w:tcW w:w="6938" w:type="dxa"/>
          </w:tcPr>
          <w:p w:rsidR="0082703B" w:rsidRPr="005576E4" w:rsidRDefault="0082703B" w:rsidP="0082703B">
            <w:pPr>
              <w:widowControl w:val="0"/>
              <w:spacing w:after="0" w:line="240" w:lineRule="auto"/>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Neglect</w:t>
            </w:r>
          </w:p>
          <w:p w:rsidR="0082703B" w:rsidRPr="005576E4" w:rsidRDefault="0082703B" w:rsidP="0082703B">
            <w:pPr>
              <w:widowControl w:val="0"/>
              <w:spacing w:after="0" w:line="240" w:lineRule="auto"/>
              <w:rPr>
                <w:rFonts w:ascii="Public Sans" w:eastAsia="Times New Roman" w:hAnsi="Public Sans" w:cs="Segoe UI"/>
                <w:color w:val="000000"/>
                <w:sz w:val="21"/>
                <w:szCs w:val="21"/>
                <w:u w:color="000000"/>
              </w:rPr>
            </w:pPr>
          </w:p>
          <w:p w:rsidR="0082703B" w:rsidRPr="005576E4" w:rsidRDefault="0082703B" w:rsidP="0082703B">
            <w:pPr>
              <w:widowControl w:val="0"/>
              <w:spacing w:after="0" w:line="240" w:lineRule="auto"/>
              <w:rPr>
                <w:rFonts w:ascii="Public Sans" w:eastAsia="Times New Roman" w:hAnsi="Public Sans" w:cs="Segoe UI"/>
                <w:color w:val="000000"/>
                <w:sz w:val="21"/>
                <w:szCs w:val="21"/>
                <w:u w:color="000000"/>
              </w:rPr>
            </w:pPr>
            <w:r w:rsidRPr="005576E4">
              <w:rPr>
                <w:rFonts w:ascii="Public Sans" w:eastAsia="Times New Roman" w:hAnsi="Public Sans" w:cs="Segoe UI"/>
                <w:color w:val="000000"/>
                <w:sz w:val="21"/>
                <w:szCs w:val="21"/>
                <w:u w:color="000000"/>
              </w:rPr>
              <w:t>(Mainly failure to meet the person’s support needs; and medical neglect)</w:t>
            </w:r>
          </w:p>
        </w:tc>
        <w:tc>
          <w:tcPr>
            <w:tcW w:w="1345" w:type="dxa"/>
          </w:tcPr>
          <w:p w:rsidR="0082703B" w:rsidRPr="005576E4" w:rsidRDefault="0036129A" w:rsidP="0082703B">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198</w:t>
            </w:r>
          </w:p>
        </w:tc>
        <w:tc>
          <w:tcPr>
            <w:tcW w:w="1345" w:type="dxa"/>
          </w:tcPr>
          <w:p w:rsidR="0082703B" w:rsidRPr="005576E4" w:rsidRDefault="0036129A" w:rsidP="0082703B">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19.3</w:t>
            </w:r>
          </w:p>
        </w:tc>
      </w:tr>
      <w:tr w:rsidR="002F5F44" w:rsidRPr="005576E4" w:rsidTr="0082703B">
        <w:tc>
          <w:tcPr>
            <w:tcW w:w="6938" w:type="dxa"/>
          </w:tcPr>
          <w:p w:rsidR="002F5F44" w:rsidRPr="005576E4" w:rsidRDefault="002F5F44" w:rsidP="0064341B">
            <w:pPr>
              <w:widowControl w:val="0"/>
              <w:spacing w:after="0" w:line="240" w:lineRule="auto"/>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Physical abuse</w:t>
            </w:r>
          </w:p>
          <w:p w:rsidR="002F5F44" w:rsidRPr="005576E4" w:rsidRDefault="002F5F44" w:rsidP="0064341B">
            <w:pPr>
              <w:widowControl w:val="0"/>
              <w:spacing w:after="0" w:line="240" w:lineRule="auto"/>
              <w:rPr>
                <w:rFonts w:ascii="Public Sans" w:eastAsia="Times New Roman" w:hAnsi="Public Sans" w:cs="Segoe UI"/>
                <w:color w:val="000000"/>
                <w:sz w:val="21"/>
                <w:szCs w:val="21"/>
                <w:u w:color="000000"/>
              </w:rPr>
            </w:pPr>
          </w:p>
          <w:p w:rsidR="002F5F44" w:rsidRPr="005576E4" w:rsidRDefault="002F5F44" w:rsidP="00317399">
            <w:pPr>
              <w:widowControl w:val="0"/>
              <w:spacing w:after="0" w:line="240" w:lineRule="auto"/>
              <w:rPr>
                <w:rFonts w:ascii="Public Sans" w:eastAsia="Times New Roman" w:hAnsi="Public Sans" w:cs="Segoe UI"/>
                <w:color w:val="000000"/>
                <w:sz w:val="21"/>
                <w:szCs w:val="21"/>
                <w:u w:color="000000"/>
              </w:rPr>
            </w:pPr>
            <w:r w:rsidRPr="005576E4">
              <w:rPr>
                <w:rFonts w:ascii="Public Sans" w:eastAsia="Times New Roman" w:hAnsi="Public Sans" w:cs="Segoe UI"/>
                <w:color w:val="000000"/>
                <w:sz w:val="21"/>
                <w:szCs w:val="21"/>
                <w:u w:color="000000"/>
              </w:rPr>
              <w:t xml:space="preserve">(Mainly </w:t>
            </w:r>
            <w:r w:rsidR="00886D64">
              <w:rPr>
                <w:rFonts w:ascii="Public Sans" w:eastAsia="Times New Roman" w:hAnsi="Public Sans" w:cs="Segoe UI"/>
                <w:color w:val="000000"/>
                <w:sz w:val="21"/>
                <w:szCs w:val="21"/>
                <w:u w:color="000000"/>
              </w:rPr>
              <w:t>hitting/kicking/punching</w:t>
            </w:r>
            <w:r w:rsidR="00317399">
              <w:rPr>
                <w:rFonts w:ascii="Public Sans" w:eastAsia="Times New Roman" w:hAnsi="Public Sans" w:cs="Segoe UI"/>
                <w:color w:val="000000"/>
                <w:sz w:val="21"/>
                <w:szCs w:val="21"/>
                <w:u w:color="000000"/>
              </w:rPr>
              <w:t>; and pushing/shoving/grabbing/ shaking</w:t>
            </w:r>
            <w:r w:rsidRPr="005576E4">
              <w:rPr>
                <w:rFonts w:ascii="Public Sans" w:eastAsia="Times New Roman" w:hAnsi="Public Sans" w:cs="Segoe UI"/>
                <w:color w:val="000000"/>
                <w:sz w:val="21"/>
                <w:szCs w:val="21"/>
                <w:u w:color="000000"/>
              </w:rPr>
              <w:t>)</w:t>
            </w:r>
          </w:p>
        </w:tc>
        <w:tc>
          <w:tcPr>
            <w:tcW w:w="1345" w:type="dxa"/>
          </w:tcPr>
          <w:p w:rsidR="002F5F44" w:rsidRPr="005576E4" w:rsidRDefault="0036129A" w:rsidP="0064341B">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90</w:t>
            </w:r>
          </w:p>
        </w:tc>
        <w:tc>
          <w:tcPr>
            <w:tcW w:w="1345" w:type="dxa"/>
          </w:tcPr>
          <w:p w:rsidR="002F5F44" w:rsidRPr="005576E4" w:rsidRDefault="0036129A" w:rsidP="00FD6731">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8.8</w:t>
            </w:r>
          </w:p>
        </w:tc>
      </w:tr>
      <w:tr w:rsidR="002F5F44" w:rsidRPr="005576E4" w:rsidTr="0082703B">
        <w:tc>
          <w:tcPr>
            <w:tcW w:w="6938" w:type="dxa"/>
          </w:tcPr>
          <w:p w:rsidR="002F5F44" w:rsidRPr="005576E4" w:rsidRDefault="002F5F44" w:rsidP="0064341B">
            <w:pPr>
              <w:widowControl w:val="0"/>
              <w:spacing w:after="0" w:line="240" w:lineRule="auto"/>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Sexual abuse</w:t>
            </w:r>
          </w:p>
          <w:p w:rsidR="002F5F44" w:rsidRPr="005576E4" w:rsidRDefault="002F5F44" w:rsidP="0064341B">
            <w:pPr>
              <w:widowControl w:val="0"/>
              <w:spacing w:after="0" w:line="240" w:lineRule="auto"/>
              <w:rPr>
                <w:rFonts w:ascii="Public Sans" w:eastAsia="Times New Roman" w:hAnsi="Public Sans" w:cs="Segoe UI"/>
                <w:color w:val="000000"/>
                <w:sz w:val="21"/>
                <w:szCs w:val="21"/>
                <w:u w:color="000000"/>
              </w:rPr>
            </w:pPr>
          </w:p>
          <w:p w:rsidR="002F5F44" w:rsidRPr="005576E4" w:rsidRDefault="002F5F44" w:rsidP="00105A19">
            <w:pPr>
              <w:widowControl w:val="0"/>
              <w:spacing w:after="0" w:line="240" w:lineRule="auto"/>
              <w:rPr>
                <w:rFonts w:ascii="Public Sans" w:eastAsia="Times New Roman" w:hAnsi="Public Sans" w:cs="Segoe UI"/>
                <w:color w:val="000000"/>
                <w:sz w:val="21"/>
                <w:szCs w:val="21"/>
                <w:u w:color="000000"/>
              </w:rPr>
            </w:pPr>
            <w:r w:rsidRPr="005576E4">
              <w:rPr>
                <w:rFonts w:ascii="Public Sans" w:eastAsia="Times New Roman" w:hAnsi="Public Sans" w:cs="Segoe UI"/>
                <w:color w:val="000000"/>
                <w:sz w:val="21"/>
                <w:szCs w:val="21"/>
                <w:u w:color="000000"/>
              </w:rPr>
              <w:t xml:space="preserve">(Mainly </w:t>
            </w:r>
            <w:r w:rsidR="00741923">
              <w:rPr>
                <w:rFonts w:ascii="Public Sans" w:eastAsia="Times New Roman" w:hAnsi="Public Sans" w:cs="Segoe UI"/>
                <w:color w:val="000000"/>
                <w:sz w:val="21"/>
                <w:szCs w:val="21"/>
                <w:u w:color="000000"/>
              </w:rPr>
              <w:t>sexual touching</w:t>
            </w:r>
            <w:r w:rsidR="0036129A">
              <w:rPr>
                <w:rFonts w:ascii="Public Sans" w:eastAsia="Times New Roman" w:hAnsi="Public Sans" w:cs="Segoe UI"/>
                <w:color w:val="000000"/>
                <w:sz w:val="21"/>
                <w:szCs w:val="21"/>
                <w:u w:color="000000"/>
              </w:rPr>
              <w:t xml:space="preserve">; and </w:t>
            </w:r>
            <w:r w:rsidRPr="005576E4">
              <w:rPr>
                <w:rFonts w:ascii="Public Sans" w:eastAsia="Times New Roman" w:hAnsi="Public Sans" w:cs="Segoe UI"/>
                <w:color w:val="000000"/>
                <w:sz w:val="21"/>
                <w:szCs w:val="21"/>
                <w:u w:color="000000"/>
              </w:rPr>
              <w:t>sexual assault)</w:t>
            </w:r>
          </w:p>
        </w:tc>
        <w:tc>
          <w:tcPr>
            <w:tcW w:w="1345" w:type="dxa"/>
          </w:tcPr>
          <w:p w:rsidR="002F5F44" w:rsidRPr="005576E4" w:rsidRDefault="0036129A" w:rsidP="0064341B">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4</w:t>
            </w:r>
          </w:p>
        </w:tc>
        <w:tc>
          <w:tcPr>
            <w:tcW w:w="1345" w:type="dxa"/>
          </w:tcPr>
          <w:p w:rsidR="002F5F44" w:rsidRPr="005576E4" w:rsidRDefault="0036129A" w:rsidP="0064341B">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0.4</w:t>
            </w:r>
          </w:p>
        </w:tc>
      </w:tr>
      <w:tr w:rsidR="002F5F44" w:rsidRPr="005576E4" w:rsidTr="0082703B">
        <w:tc>
          <w:tcPr>
            <w:tcW w:w="6938" w:type="dxa"/>
          </w:tcPr>
          <w:p w:rsidR="002F5F44" w:rsidRPr="005576E4" w:rsidRDefault="002F5F44" w:rsidP="0064341B">
            <w:pPr>
              <w:widowControl w:val="0"/>
              <w:spacing w:after="0" w:line="240" w:lineRule="auto"/>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Other</w:t>
            </w:r>
          </w:p>
        </w:tc>
        <w:tc>
          <w:tcPr>
            <w:tcW w:w="1345" w:type="dxa"/>
          </w:tcPr>
          <w:p w:rsidR="002F5F44" w:rsidRPr="005576E4" w:rsidRDefault="0036129A" w:rsidP="0064341B">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14</w:t>
            </w:r>
          </w:p>
        </w:tc>
        <w:tc>
          <w:tcPr>
            <w:tcW w:w="1345" w:type="dxa"/>
          </w:tcPr>
          <w:p w:rsidR="002F5F44" w:rsidRPr="005576E4" w:rsidRDefault="0036129A" w:rsidP="00FD6731">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1.4</w:t>
            </w:r>
          </w:p>
        </w:tc>
      </w:tr>
      <w:tr w:rsidR="002F5F44" w:rsidRPr="005576E4" w:rsidTr="0082703B">
        <w:tc>
          <w:tcPr>
            <w:tcW w:w="6938" w:type="dxa"/>
          </w:tcPr>
          <w:p w:rsidR="002F5F44" w:rsidRPr="005576E4" w:rsidRDefault="002F5F44" w:rsidP="0064341B">
            <w:pPr>
              <w:widowControl w:val="0"/>
              <w:spacing w:after="0" w:line="240" w:lineRule="auto"/>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Total allegations in reports about older people</w:t>
            </w:r>
          </w:p>
        </w:tc>
        <w:tc>
          <w:tcPr>
            <w:tcW w:w="1345" w:type="dxa"/>
          </w:tcPr>
          <w:p w:rsidR="002F5F44" w:rsidRPr="005576E4" w:rsidRDefault="0036129A" w:rsidP="00FD6731">
            <w:pPr>
              <w:widowControl w:val="0"/>
              <w:spacing w:after="0" w:line="240" w:lineRule="auto"/>
              <w:jc w:val="right"/>
              <w:rPr>
                <w:rFonts w:ascii="Public Sans" w:eastAsia="Times New Roman" w:hAnsi="Public Sans" w:cs="Segoe UI"/>
                <w:b/>
                <w:color w:val="000000"/>
                <w:sz w:val="21"/>
                <w:szCs w:val="21"/>
                <w:u w:color="000000"/>
              </w:rPr>
            </w:pPr>
            <w:r>
              <w:rPr>
                <w:rFonts w:ascii="Public Sans" w:eastAsia="Times New Roman" w:hAnsi="Public Sans" w:cs="Segoe UI"/>
                <w:b/>
                <w:color w:val="000000"/>
                <w:sz w:val="21"/>
                <w:szCs w:val="21"/>
                <w:u w:color="000000"/>
              </w:rPr>
              <w:t>1,025</w:t>
            </w:r>
          </w:p>
        </w:tc>
        <w:tc>
          <w:tcPr>
            <w:tcW w:w="1345" w:type="dxa"/>
          </w:tcPr>
          <w:p w:rsidR="002F5F44" w:rsidRPr="005576E4" w:rsidRDefault="002F5F44" w:rsidP="0064341B">
            <w:pPr>
              <w:widowControl w:val="0"/>
              <w:spacing w:after="0" w:line="240" w:lineRule="auto"/>
              <w:jc w:val="right"/>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100</w:t>
            </w:r>
          </w:p>
        </w:tc>
      </w:tr>
    </w:tbl>
    <w:p w:rsidR="002C200C" w:rsidRPr="005576E4" w:rsidRDefault="002C200C" w:rsidP="002F5F44">
      <w:pPr>
        <w:spacing w:after="0" w:line="240" w:lineRule="auto"/>
        <w:rPr>
          <w:rFonts w:ascii="Public Sans" w:hAnsi="Public Sans" w:cs="Segoe UI"/>
        </w:rPr>
      </w:pPr>
    </w:p>
    <w:p w:rsidR="002F5F44" w:rsidRPr="005576E4" w:rsidRDefault="002F5F44" w:rsidP="00A53199">
      <w:pPr>
        <w:spacing w:before="120" w:after="0" w:line="240" w:lineRule="auto"/>
        <w:rPr>
          <w:rFonts w:ascii="Public Sans" w:hAnsi="Public Sans" w:cs="Segoe UI"/>
        </w:rPr>
      </w:pPr>
      <w:r w:rsidRPr="005576E4">
        <w:rPr>
          <w:rFonts w:ascii="Public Sans" w:hAnsi="Public Sans" w:cs="Segoe UI"/>
        </w:rPr>
        <w:t xml:space="preserve">The most common allegations reported in relation to older people related them being subject to verbal </w:t>
      </w:r>
      <w:r w:rsidR="00317399">
        <w:rPr>
          <w:rFonts w:ascii="Public Sans" w:hAnsi="Public Sans" w:cs="Segoe UI"/>
        </w:rPr>
        <w:t xml:space="preserve">or other psychological </w:t>
      </w:r>
      <w:r w:rsidRPr="005576E4">
        <w:rPr>
          <w:rFonts w:ascii="Public Sans" w:hAnsi="Public Sans" w:cs="Segoe UI"/>
        </w:rPr>
        <w:t xml:space="preserve">abuse; </w:t>
      </w:r>
      <w:r w:rsidR="00DF757F" w:rsidRPr="005576E4">
        <w:rPr>
          <w:rFonts w:ascii="Public Sans" w:hAnsi="Public Sans" w:cs="Segoe UI"/>
        </w:rPr>
        <w:t>being financial</w:t>
      </w:r>
      <w:r w:rsidR="00DF757F">
        <w:rPr>
          <w:rFonts w:ascii="Public Sans" w:hAnsi="Public Sans" w:cs="Segoe UI"/>
        </w:rPr>
        <w:t>ly</w:t>
      </w:r>
      <w:r w:rsidR="00DF757F" w:rsidRPr="005576E4">
        <w:rPr>
          <w:rFonts w:ascii="Public Sans" w:hAnsi="Public Sans" w:cs="Segoe UI"/>
        </w:rPr>
        <w:t xml:space="preserve"> exploited</w:t>
      </w:r>
      <w:r w:rsidR="00DF757F">
        <w:rPr>
          <w:rFonts w:ascii="Public Sans" w:hAnsi="Public Sans" w:cs="Segoe UI"/>
        </w:rPr>
        <w:t>;</w:t>
      </w:r>
      <w:r w:rsidR="00DF757F" w:rsidRPr="005576E4">
        <w:rPr>
          <w:rFonts w:ascii="Public Sans" w:hAnsi="Public Sans" w:cs="Segoe UI"/>
        </w:rPr>
        <w:t xml:space="preserve"> </w:t>
      </w:r>
      <w:r w:rsidRPr="005576E4">
        <w:rPr>
          <w:rFonts w:ascii="Public Sans" w:hAnsi="Public Sans" w:cs="Segoe UI"/>
        </w:rPr>
        <w:t xml:space="preserve">not having their support needs met; </w:t>
      </w:r>
      <w:r w:rsidR="00DF757F">
        <w:rPr>
          <w:rFonts w:ascii="Public Sans" w:hAnsi="Public Sans" w:cs="Segoe UI"/>
        </w:rPr>
        <w:t xml:space="preserve">and </w:t>
      </w:r>
      <w:r w:rsidR="00317399" w:rsidRPr="005576E4">
        <w:rPr>
          <w:rFonts w:ascii="Public Sans" w:hAnsi="Public Sans" w:cs="Segoe UI"/>
        </w:rPr>
        <w:t>being prevented or restricted from having access to family and others</w:t>
      </w:r>
      <w:r w:rsidRPr="005576E4">
        <w:rPr>
          <w:rFonts w:ascii="Public Sans" w:hAnsi="Public Sans" w:cs="Segoe UI"/>
        </w:rPr>
        <w:t xml:space="preserve">. </w:t>
      </w:r>
    </w:p>
    <w:p w:rsidR="002F5F44" w:rsidRPr="005576E4" w:rsidRDefault="002F5F44" w:rsidP="002F5F44">
      <w:pPr>
        <w:spacing w:after="0" w:line="240" w:lineRule="auto"/>
        <w:rPr>
          <w:rFonts w:ascii="Public Sans" w:hAnsi="Public Sans" w:cs="Segoe UI"/>
        </w:rPr>
      </w:pPr>
    </w:p>
    <w:p w:rsidR="002F5F44" w:rsidRPr="00316B88" w:rsidRDefault="00234D13" w:rsidP="002F5F44">
      <w:pPr>
        <w:pStyle w:val="Body"/>
        <w:widowControl w:val="0"/>
        <w:spacing w:after="0" w:line="240" w:lineRule="auto"/>
        <w:rPr>
          <w:rFonts w:ascii="Public Sans" w:eastAsia="Helvetica" w:hAnsi="Public Sans" w:cs="Segoe UI"/>
          <w:b/>
          <w:sz w:val="18"/>
        </w:rPr>
      </w:pPr>
      <w:r w:rsidRPr="00316B88">
        <w:rPr>
          <w:rFonts w:ascii="Public Sans" w:eastAsia="Helvetica" w:hAnsi="Public Sans" w:cs="Segoe UI"/>
          <w:b/>
          <w:sz w:val="18"/>
        </w:rPr>
        <w:t>Table 6</w:t>
      </w:r>
      <w:r w:rsidR="002F5F44" w:rsidRPr="00316B88">
        <w:rPr>
          <w:rFonts w:ascii="Public Sans" w:eastAsia="Helvetica" w:hAnsi="Public Sans" w:cs="Segoe UI"/>
          <w:b/>
          <w:sz w:val="18"/>
        </w:rPr>
        <w:t>: Leading reported allegations in relation to older people,</w:t>
      </w:r>
      <w:r w:rsidR="00F52EF1">
        <w:rPr>
          <w:rFonts w:ascii="Public Sans" w:eastAsia="Helvetica" w:hAnsi="Public Sans" w:cs="Segoe UI"/>
          <w:b/>
          <w:sz w:val="18"/>
        </w:rPr>
        <w:t xml:space="preserve"> </w:t>
      </w:r>
      <w:r w:rsidR="00A95244">
        <w:rPr>
          <w:rFonts w:ascii="Public Sans" w:eastAsia="Helvetica" w:hAnsi="Public Sans" w:cs="Segoe UI"/>
          <w:b/>
          <w:sz w:val="18"/>
        </w:rPr>
        <w:t>Oct</w:t>
      </w:r>
      <w:r w:rsidR="00316B88" w:rsidRPr="00316B88">
        <w:rPr>
          <w:rFonts w:ascii="Public Sans" w:eastAsia="Helvetica" w:hAnsi="Public Sans" w:cs="Segoe UI"/>
          <w:b/>
          <w:sz w:val="18"/>
        </w:rPr>
        <w:t>-</w:t>
      </w:r>
      <w:r w:rsidR="00A95244">
        <w:rPr>
          <w:rFonts w:ascii="Public Sans" w:eastAsia="Helvetica" w:hAnsi="Public Sans" w:cs="Segoe UI"/>
          <w:b/>
          <w:sz w:val="18"/>
        </w:rPr>
        <w:t>Dec</w:t>
      </w:r>
      <w:r w:rsidR="002F5F44" w:rsidRPr="00316B88">
        <w:rPr>
          <w:rFonts w:ascii="Public Sans" w:eastAsia="Helvetica" w:hAnsi="Public Sans" w:cs="Segoe UI"/>
          <w:b/>
          <w:sz w:val="18"/>
        </w:rPr>
        <w:t xml:space="preserve"> 202</w:t>
      </w:r>
      <w:r w:rsidR="00F52EF1">
        <w:rPr>
          <w:rFonts w:ascii="Public Sans" w:eastAsia="Helvetica" w:hAnsi="Public Sans" w:cs="Segoe UI"/>
          <w:b/>
          <w:sz w:val="18"/>
        </w:rPr>
        <w:t>2</w:t>
      </w:r>
    </w:p>
    <w:tbl>
      <w:tblPr>
        <w:tblStyle w:val="TableGrid"/>
        <w:tblW w:w="5000" w:type="pct"/>
        <w:tblLook w:val="04A0" w:firstRow="1" w:lastRow="0" w:firstColumn="1" w:lastColumn="0" w:noHBand="0" w:noVBand="1"/>
      </w:tblPr>
      <w:tblGrid>
        <w:gridCol w:w="576"/>
        <w:gridCol w:w="7693"/>
        <w:gridCol w:w="1359"/>
      </w:tblGrid>
      <w:tr w:rsidR="002F5F44" w:rsidRPr="005576E4" w:rsidTr="00AF03FA">
        <w:tc>
          <w:tcPr>
            <w:tcW w:w="299" w:type="pct"/>
            <w:shd w:val="clear" w:color="auto" w:fill="A5CCDF"/>
          </w:tcPr>
          <w:p w:rsidR="002F5F44" w:rsidRPr="005576E4" w:rsidRDefault="002F5F44" w:rsidP="0064341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p>
        </w:tc>
        <w:tc>
          <w:tcPr>
            <w:tcW w:w="3995" w:type="pct"/>
            <w:shd w:val="clear" w:color="auto" w:fill="A5CCDF"/>
          </w:tcPr>
          <w:p w:rsidR="002F5F44" w:rsidRPr="005576E4" w:rsidRDefault="002F5F44" w:rsidP="0064341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b/>
                <w:sz w:val="21"/>
                <w:szCs w:val="21"/>
              </w:rPr>
            </w:pPr>
            <w:r w:rsidRPr="005576E4">
              <w:rPr>
                <w:rFonts w:ascii="Public Sans" w:eastAsia="Helvetica" w:hAnsi="Public Sans" w:cs="Segoe UI"/>
                <w:b/>
                <w:sz w:val="21"/>
                <w:szCs w:val="21"/>
              </w:rPr>
              <w:t>Reported allegation</w:t>
            </w:r>
          </w:p>
        </w:tc>
        <w:tc>
          <w:tcPr>
            <w:tcW w:w="706" w:type="pct"/>
            <w:shd w:val="clear" w:color="auto" w:fill="A5CCDF"/>
          </w:tcPr>
          <w:p w:rsidR="002F5F44" w:rsidRPr="005576E4" w:rsidRDefault="002F5F44" w:rsidP="0064341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b/>
                <w:sz w:val="21"/>
                <w:szCs w:val="21"/>
              </w:rPr>
            </w:pPr>
            <w:r w:rsidRPr="005576E4">
              <w:rPr>
                <w:rFonts w:ascii="Public Sans" w:eastAsia="Helvetica" w:hAnsi="Public Sans" w:cs="Segoe UI"/>
                <w:b/>
                <w:sz w:val="21"/>
                <w:szCs w:val="21"/>
              </w:rPr>
              <w:t>Number of cases</w:t>
            </w:r>
          </w:p>
        </w:tc>
      </w:tr>
      <w:tr w:rsidR="002F5F44" w:rsidRPr="005576E4" w:rsidTr="00AF03FA">
        <w:tc>
          <w:tcPr>
            <w:tcW w:w="299" w:type="pct"/>
          </w:tcPr>
          <w:p w:rsidR="002F5F44" w:rsidRPr="005576E4" w:rsidRDefault="002F5F44" w:rsidP="0064341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sidRPr="005576E4">
              <w:rPr>
                <w:rFonts w:ascii="Public Sans" w:eastAsia="Helvetica" w:hAnsi="Public Sans" w:cs="Segoe UI"/>
                <w:sz w:val="21"/>
                <w:szCs w:val="21"/>
              </w:rPr>
              <w:t>1.</w:t>
            </w:r>
          </w:p>
        </w:tc>
        <w:tc>
          <w:tcPr>
            <w:tcW w:w="3995" w:type="pct"/>
          </w:tcPr>
          <w:p w:rsidR="002F5F44" w:rsidRPr="005576E4" w:rsidRDefault="00F60213" w:rsidP="00F60213">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Psychological abuse – v</w:t>
            </w:r>
            <w:r w:rsidR="002F5F44" w:rsidRPr="005576E4">
              <w:rPr>
                <w:rFonts w:ascii="Public Sans" w:eastAsia="Helvetica" w:hAnsi="Public Sans" w:cs="Segoe UI"/>
                <w:sz w:val="21"/>
                <w:szCs w:val="21"/>
              </w:rPr>
              <w:t>erbal abuse</w:t>
            </w:r>
          </w:p>
        </w:tc>
        <w:tc>
          <w:tcPr>
            <w:tcW w:w="706" w:type="pct"/>
          </w:tcPr>
          <w:p w:rsidR="002F5F44" w:rsidRPr="005576E4" w:rsidRDefault="00A95244" w:rsidP="0064341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161</w:t>
            </w:r>
          </w:p>
        </w:tc>
      </w:tr>
      <w:tr w:rsidR="00316B88" w:rsidRPr="005576E4" w:rsidTr="00AF03FA">
        <w:tc>
          <w:tcPr>
            <w:tcW w:w="299" w:type="pct"/>
          </w:tcPr>
          <w:p w:rsidR="00316B88" w:rsidRPr="005576E4" w:rsidRDefault="00C56545" w:rsidP="00316B88">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2</w:t>
            </w:r>
            <w:r w:rsidR="00316B88" w:rsidRPr="005576E4">
              <w:rPr>
                <w:rFonts w:ascii="Public Sans" w:eastAsia="Helvetica" w:hAnsi="Public Sans" w:cs="Segoe UI"/>
                <w:sz w:val="21"/>
                <w:szCs w:val="21"/>
              </w:rPr>
              <w:t>.</w:t>
            </w:r>
          </w:p>
        </w:tc>
        <w:tc>
          <w:tcPr>
            <w:tcW w:w="3995" w:type="pct"/>
          </w:tcPr>
          <w:p w:rsidR="00316B88" w:rsidRPr="005576E4" w:rsidRDefault="00A95244" w:rsidP="00A9524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 xml:space="preserve">Financial exploitation  </w:t>
            </w:r>
          </w:p>
        </w:tc>
        <w:tc>
          <w:tcPr>
            <w:tcW w:w="706" w:type="pct"/>
          </w:tcPr>
          <w:p w:rsidR="00316B88" w:rsidRPr="005576E4" w:rsidRDefault="00A95244" w:rsidP="00316B88">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12</w:t>
            </w:r>
            <w:r w:rsidR="005E0384">
              <w:rPr>
                <w:rFonts w:ascii="Public Sans" w:eastAsia="Helvetica" w:hAnsi="Public Sans" w:cs="Segoe UI"/>
                <w:sz w:val="21"/>
                <w:szCs w:val="21"/>
              </w:rPr>
              <w:t>4</w:t>
            </w:r>
          </w:p>
        </w:tc>
      </w:tr>
      <w:tr w:rsidR="00316B88" w:rsidRPr="005576E4" w:rsidTr="00AF03FA">
        <w:tc>
          <w:tcPr>
            <w:tcW w:w="299" w:type="pct"/>
          </w:tcPr>
          <w:p w:rsidR="00316B88" w:rsidRPr="005576E4" w:rsidRDefault="00C56545" w:rsidP="00316B88">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3</w:t>
            </w:r>
            <w:r w:rsidR="00316B88" w:rsidRPr="005576E4">
              <w:rPr>
                <w:rFonts w:ascii="Public Sans" w:eastAsia="Helvetica" w:hAnsi="Public Sans" w:cs="Segoe UI"/>
                <w:sz w:val="21"/>
                <w:szCs w:val="21"/>
              </w:rPr>
              <w:t>.</w:t>
            </w:r>
          </w:p>
        </w:tc>
        <w:tc>
          <w:tcPr>
            <w:tcW w:w="3995" w:type="pct"/>
          </w:tcPr>
          <w:p w:rsidR="00316B88" w:rsidRPr="005576E4" w:rsidRDefault="00A95244" w:rsidP="00A9524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 xml:space="preserve">Psychological abuse – other psychological abuse </w:t>
            </w:r>
          </w:p>
        </w:tc>
        <w:tc>
          <w:tcPr>
            <w:tcW w:w="706" w:type="pct"/>
          </w:tcPr>
          <w:p w:rsidR="00316B88" w:rsidRPr="005576E4" w:rsidRDefault="00A95244" w:rsidP="00316B88">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114</w:t>
            </w:r>
          </w:p>
        </w:tc>
      </w:tr>
      <w:tr w:rsidR="00316B88" w:rsidRPr="005576E4" w:rsidTr="00AF03FA">
        <w:tc>
          <w:tcPr>
            <w:tcW w:w="299" w:type="pct"/>
          </w:tcPr>
          <w:p w:rsidR="00316B88" w:rsidRPr="005576E4" w:rsidRDefault="00C56545" w:rsidP="00316B88">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4</w:t>
            </w:r>
            <w:r w:rsidR="00316B88" w:rsidRPr="005576E4">
              <w:rPr>
                <w:rFonts w:ascii="Public Sans" w:eastAsia="Helvetica" w:hAnsi="Public Sans" w:cs="Segoe UI"/>
                <w:sz w:val="21"/>
                <w:szCs w:val="21"/>
              </w:rPr>
              <w:t>.</w:t>
            </w:r>
          </w:p>
        </w:tc>
        <w:tc>
          <w:tcPr>
            <w:tcW w:w="3995" w:type="pct"/>
          </w:tcPr>
          <w:p w:rsidR="00316B88" w:rsidRPr="005576E4" w:rsidRDefault="00A95244" w:rsidP="00A9524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 xml:space="preserve">Neglect – failure to meet the adult’s support needs </w:t>
            </w:r>
          </w:p>
        </w:tc>
        <w:tc>
          <w:tcPr>
            <w:tcW w:w="706" w:type="pct"/>
          </w:tcPr>
          <w:p w:rsidR="00316B88" w:rsidRPr="005576E4" w:rsidRDefault="00A95244" w:rsidP="00316B88">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96</w:t>
            </w:r>
          </w:p>
        </w:tc>
      </w:tr>
      <w:tr w:rsidR="002F5F44" w:rsidRPr="005576E4" w:rsidTr="00AF03FA">
        <w:tc>
          <w:tcPr>
            <w:tcW w:w="299" w:type="pct"/>
          </w:tcPr>
          <w:p w:rsidR="002F5F44" w:rsidRPr="005576E4" w:rsidRDefault="00C56545" w:rsidP="0064341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5</w:t>
            </w:r>
            <w:r w:rsidR="002F5F44" w:rsidRPr="005576E4">
              <w:rPr>
                <w:rFonts w:ascii="Public Sans" w:eastAsia="Helvetica" w:hAnsi="Public Sans" w:cs="Segoe UI"/>
                <w:sz w:val="21"/>
                <w:szCs w:val="21"/>
              </w:rPr>
              <w:t>.</w:t>
            </w:r>
          </w:p>
        </w:tc>
        <w:tc>
          <w:tcPr>
            <w:tcW w:w="3995" w:type="pct"/>
          </w:tcPr>
          <w:p w:rsidR="002F5F44" w:rsidRPr="005576E4" w:rsidRDefault="00A95244" w:rsidP="00D332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Psychological abuse – preventing or restricting access to family/others</w:t>
            </w:r>
          </w:p>
        </w:tc>
        <w:tc>
          <w:tcPr>
            <w:tcW w:w="706" w:type="pct"/>
          </w:tcPr>
          <w:p w:rsidR="002F5F44" w:rsidRPr="005576E4" w:rsidRDefault="00A95244" w:rsidP="00F52EF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65</w:t>
            </w:r>
          </w:p>
        </w:tc>
      </w:tr>
      <w:tr w:rsidR="002F5F44" w:rsidRPr="005576E4" w:rsidTr="00AF03FA">
        <w:tc>
          <w:tcPr>
            <w:tcW w:w="299" w:type="pct"/>
          </w:tcPr>
          <w:p w:rsidR="002F5F44" w:rsidRPr="005576E4" w:rsidRDefault="002F5F44" w:rsidP="0064341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sidRPr="005576E4">
              <w:rPr>
                <w:rFonts w:ascii="Public Sans" w:eastAsia="Helvetica" w:hAnsi="Public Sans" w:cs="Segoe UI"/>
                <w:sz w:val="21"/>
                <w:szCs w:val="21"/>
              </w:rPr>
              <w:t>6.</w:t>
            </w:r>
          </w:p>
        </w:tc>
        <w:tc>
          <w:tcPr>
            <w:tcW w:w="3995" w:type="pct"/>
          </w:tcPr>
          <w:p w:rsidR="002F5F44" w:rsidRPr="005576E4" w:rsidRDefault="00A95244" w:rsidP="00A9524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Financial abuse – m</w:t>
            </w:r>
            <w:r w:rsidRPr="005576E4">
              <w:rPr>
                <w:rFonts w:ascii="Public Sans" w:eastAsia="Helvetica" w:hAnsi="Public Sans" w:cs="Segoe UI"/>
                <w:sz w:val="21"/>
                <w:szCs w:val="21"/>
              </w:rPr>
              <w:t>isuse of Power of Attorney/ Enduring Power of Attorney</w:t>
            </w:r>
            <w:r>
              <w:rPr>
                <w:rFonts w:ascii="Public Sans" w:eastAsia="Helvetica" w:hAnsi="Public Sans" w:cs="Segoe UI"/>
                <w:sz w:val="21"/>
                <w:szCs w:val="21"/>
              </w:rPr>
              <w:t xml:space="preserve">  </w:t>
            </w:r>
          </w:p>
        </w:tc>
        <w:tc>
          <w:tcPr>
            <w:tcW w:w="706" w:type="pct"/>
          </w:tcPr>
          <w:p w:rsidR="002F5F44" w:rsidRPr="005576E4" w:rsidRDefault="00A95244" w:rsidP="0064341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44</w:t>
            </w:r>
          </w:p>
        </w:tc>
      </w:tr>
      <w:tr w:rsidR="00316B88" w:rsidRPr="005576E4" w:rsidTr="00AF03FA">
        <w:tc>
          <w:tcPr>
            <w:tcW w:w="299" w:type="pct"/>
          </w:tcPr>
          <w:p w:rsidR="00316B88" w:rsidRPr="005576E4" w:rsidRDefault="002930FB" w:rsidP="00316B88">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6</w:t>
            </w:r>
            <w:r w:rsidR="00316B88" w:rsidRPr="005576E4">
              <w:rPr>
                <w:rFonts w:ascii="Public Sans" w:eastAsia="Helvetica" w:hAnsi="Public Sans" w:cs="Segoe UI"/>
                <w:sz w:val="21"/>
                <w:szCs w:val="21"/>
              </w:rPr>
              <w:t>.</w:t>
            </w:r>
          </w:p>
        </w:tc>
        <w:tc>
          <w:tcPr>
            <w:tcW w:w="3995" w:type="pct"/>
          </w:tcPr>
          <w:p w:rsidR="00316B88" w:rsidRPr="005576E4" w:rsidRDefault="00A95244" w:rsidP="00D332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Financial abuse – t</w:t>
            </w:r>
            <w:r w:rsidRPr="005576E4">
              <w:rPr>
                <w:rFonts w:ascii="Public Sans" w:eastAsia="Helvetica" w:hAnsi="Public Sans" w:cs="Segoe UI"/>
                <w:sz w:val="21"/>
                <w:szCs w:val="21"/>
              </w:rPr>
              <w:t>heft</w:t>
            </w:r>
          </w:p>
        </w:tc>
        <w:tc>
          <w:tcPr>
            <w:tcW w:w="706" w:type="pct"/>
          </w:tcPr>
          <w:p w:rsidR="00316B88" w:rsidRPr="005576E4" w:rsidRDefault="00A95244" w:rsidP="00316B88">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44</w:t>
            </w:r>
          </w:p>
        </w:tc>
      </w:tr>
      <w:tr w:rsidR="002F5F44" w:rsidRPr="005576E4" w:rsidTr="00AF03FA">
        <w:tc>
          <w:tcPr>
            <w:tcW w:w="299" w:type="pct"/>
          </w:tcPr>
          <w:p w:rsidR="002F5F44" w:rsidRPr="005576E4" w:rsidRDefault="00C56545" w:rsidP="0064341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8</w:t>
            </w:r>
            <w:r w:rsidR="002F5F44" w:rsidRPr="005576E4">
              <w:rPr>
                <w:rFonts w:ascii="Public Sans" w:eastAsia="Helvetica" w:hAnsi="Public Sans" w:cs="Segoe UI"/>
                <w:sz w:val="21"/>
                <w:szCs w:val="21"/>
              </w:rPr>
              <w:t>.</w:t>
            </w:r>
          </w:p>
        </w:tc>
        <w:tc>
          <w:tcPr>
            <w:tcW w:w="3995" w:type="pct"/>
          </w:tcPr>
          <w:p w:rsidR="002F5F44" w:rsidRPr="005576E4" w:rsidRDefault="005E0384" w:rsidP="005E038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 xml:space="preserve">Financial abuse – other financial abuse </w:t>
            </w:r>
          </w:p>
        </w:tc>
        <w:tc>
          <w:tcPr>
            <w:tcW w:w="706" w:type="pct"/>
          </w:tcPr>
          <w:p w:rsidR="002F5F44" w:rsidRPr="005576E4" w:rsidRDefault="00A95244" w:rsidP="00316B88">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43</w:t>
            </w:r>
          </w:p>
        </w:tc>
      </w:tr>
      <w:tr w:rsidR="002F5F44" w:rsidRPr="005576E4" w:rsidTr="00AF03FA">
        <w:tc>
          <w:tcPr>
            <w:tcW w:w="299" w:type="pct"/>
          </w:tcPr>
          <w:p w:rsidR="002F5F44" w:rsidRPr="005576E4" w:rsidRDefault="002930FB" w:rsidP="0064341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9</w:t>
            </w:r>
            <w:r w:rsidR="002F5F44" w:rsidRPr="005576E4">
              <w:rPr>
                <w:rFonts w:ascii="Public Sans" w:eastAsia="Helvetica" w:hAnsi="Public Sans" w:cs="Segoe UI"/>
                <w:sz w:val="21"/>
                <w:szCs w:val="21"/>
              </w:rPr>
              <w:t>.</w:t>
            </w:r>
          </w:p>
        </w:tc>
        <w:tc>
          <w:tcPr>
            <w:tcW w:w="3995" w:type="pct"/>
          </w:tcPr>
          <w:p w:rsidR="002F5F44" w:rsidRPr="005576E4" w:rsidRDefault="00A95244" w:rsidP="00A9524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 xml:space="preserve">Psychological abuse – preventing or restricting access to supports and services  </w:t>
            </w:r>
          </w:p>
        </w:tc>
        <w:tc>
          <w:tcPr>
            <w:tcW w:w="706" w:type="pct"/>
          </w:tcPr>
          <w:p w:rsidR="002F5F44" w:rsidRPr="005576E4" w:rsidRDefault="00A95244" w:rsidP="00F52EF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40</w:t>
            </w:r>
          </w:p>
        </w:tc>
      </w:tr>
      <w:tr w:rsidR="002F5F44" w:rsidRPr="005576E4" w:rsidTr="00AF03FA">
        <w:tc>
          <w:tcPr>
            <w:tcW w:w="299" w:type="pct"/>
          </w:tcPr>
          <w:p w:rsidR="002F5F44" w:rsidRPr="005576E4" w:rsidRDefault="005E0384" w:rsidP="0064341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10</w:t>
            </w:r>
            <w:r w:rsidR="002F5F44" w:rsidRPr="005576E4">
              <w:rPr>
                <w:rFonts w:ascii="Public Sans" w:eastAsia="Helvetica" w:hAnsi="Public Sans" w:cs="Segoe UI"/>
                <w:sz w:val="21"/>
                <w:szCs w:val="21"/>
              </w:rPr>
              <w:t>.</w:t>
            </w:r>
          </w:p>
        </w:tc>
        <w:tc>
          <w:tcPr>
            <w:tcW w:w="3995" w:type="pct"/>
          </w:tcPr>
          <w:p w:rsidR="002F5F44" w:rsidRPr="005576E4" w:rsidRDefault="00A95244" w:rsidP="00D332B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Psychological abuse – making excessive or degrading demands</w:t>
            </w:r>
          </w:p>
        </w:tc>
        <w:tc>
          <w:tcPr>
            <w:tcW w:w="706" w:type="pct"/>
          </w:tcPr>
          <w:p w:rsidR="002F5F44" w:rsidRPr="005576E4" w:rsidRDefault="00A95244" w:rsidP="00F52EF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31</w:t>
            </w:r>
          </w:p>
        </w:tc>
      </w:tr>
    </w:tbl>
    <w:p w:rsidR="00AE44F1" w:rsidRDefault="00AE44F1" w:rsidP="00D915DF">
      <w:pPr>
        <w:spacing w:after="0"/>
        <w:rPr>
          <w:rFonts w:ascii="Public Sans" w:eastAsia="Helvetica" w:hAnsi="Public Sans"/>
        </w:rPr>
      </w:pPr>
    </w:p>
    <w:p w:rsidR="00A53199" w:rsidRDefault="00A53199" w:rsidP="00D915DF">
      <w:pPr>
        <w:spacing w:after="0"/>
        <w:rPr>
          <w:rFonts w:ascii="Public Sans" w:eastAsia="Helvetica" w:hAnsi="Public Sans"/>
        </w:rPr>
      </w:pPr>
    </w:p>
    <w:p w:rsidR="00936332" w:rsidRPr="002F7582" w:rsidRDefault="00936332" w:rsidP="00936332">
      <w:pPr>
        <w:pStyle w:val="Heading2"/>
        <w:spacing w:before="0"/>
        <w:rPr>
          <w:rFonts w:ascii="Public Sans" w:eastAsia="Helvetica" w:hAnsi="Public Sans"/>
          <w:b/>
          <w:color w:val="auto"/>
        </w:rPr>
      </w:pPr>
      <w:r w:rsidRPr="002F7582">
        <w:rPr>
          <w:rFonts w:ascii="Public Sans" w:eastAsia="Helvetica" w:hAnsi="Public Sans"/>
          <w:b/>
          <w:color w:val="auto"/>
        </w:rPr>
        <w:t>Adults with disability</w:t>
      </w:r>
    </w:p>
    <w:p w:rsidR="002F5F44" w:rsidRDefault="002F5F44" w:rsidP="002F5F44">
      <w:pPr>
        <w:pStyle w:val="Body"/>
        <w:widowControl w:val="0"/>
        <w:spacing w:before="120" w:after="0" w:line="240" w:lineRule="auto"/>
        <w:rPr>
          <w:rFonts w:ascii="Public Sans" w:eastAsia="Helvetica" w:hAnsi="Public Sans" w:cs="Segoe UI"/>
        </w:rPr>
      </w:pPr>
      <w:r w:rsidRPr="005576E4">
        <w:rPr>
          <w:rFonts w:ascii="Public Sans" w:eastAsia="Helvetica" w:hAnsi="Public Sans" w:cs="Segoe UI"/>
        </w:rPr>
        <w:t xml:space="preserve">The most commonly reported types of alleged abuse in relation to adults with disability in </w:t>
      </w:r>
      <w:r w:rsidR="003066AE">
        <w:rPr>
          <w:rFonts w:ascii="Public Sans" w:eastAsia="Helvetica" w:hAnsi="Public Sans" w:cs="Segoe UI"/>
        </w:rPr>
        <w:t>October</w:t>
      </w:r>
      <w:r w:rsidRPr="005576E4">
        <w:rPr>
          <w:rFonts w:ascii="Public Sans" w:eastAsia="Helvetica" w:hAnsi="Public Sans" w:cs="Segoe UI"/>
        </w:rPr>
        <w:t xml:space="preserve"> – </w:t>
      </w:r>
      <w:r w:rsidR="003066AE">
        <w:rPr>
          <w:rFonts w:ascii="Public Sans" w:eastAsia="Helvetica" w:hAnsi="Public Sans" w:cs="Segoe UI"/>
        </w:rPr>
        <w:t>Dec</w:t>
      </w:r>
      <w:r w:rsidR="007D19E4">
        <w:rPr>
          <w:rFonts w:ascii="Public Sans" w:eastAsia="Helvetica" w:hAnsi="Public Sans" w:cs="Segoe UI"/>
        </w:rPr>
        <w:t>ember</w:t>
      </w:r>
      <w:r w:rsidRPr="005576E4">
        <w:rPr>
          <w:rFonts w:ascii="Public Sans" w:eastAsia="Helvetica" w:hAnsi="Public Sans" w:cs="Segoe UI"/>
        </w:rPr>
        <w:t xml:space="preserve"> 202</w:t>
      </w:r>
      <w:r w:rsidR="00AE44F1">
        <w:rPr>
          <w:rFonts w:ascii="Public Sans" w:eastAsia="Helvetica" w:hAnsi="Public Sans" w:cs="Segoe UI"/>
        </w:rPr>
        <w:t>2</w:t>
      </w:r>
      <w:r w:rsidRPr="005576E4">
        <w:rPr>
          <w:rFonts w:ascii="Public Sans" w:eastAsia="Helvetica" w:hAnsi="Public Sans" w:cs="Segoe UI"/>
        </w:rPr>
        <w:t xml:space="preserve"> were psychological abuse, followed by </w:t>
      </w:r>
      <w:r w:rsidR="003066AE">
        <w:rPr>
          <w:rFonts w:ascii="Public Sans" w:eastAsia="Helvetica" w:hAnsi="Public Sans" w:cs="Segoe UI"/>
        </w:rPr>
        <w:t>financial abuse</w:t>
      </w:r>
      <w:r w:rsidRPr="005576E4">
        <w:rPr>
          <w:rFonts w:ascii="Public Sans" w:eastAsia="Helvetica" w:hAnsi="Public Sans" w:cs="Segoe UI"/>
        </w:rPr>
        <w:t xml:space="preserve">. </w:t>
      </w:r>
    </w:p>
    <w:p w:rsidR="007D19E4" w:rsidRPr="005576E4" w:rsidRDefault="007D19E4" w:rsidP="002F5F44">
      <w:pPr>
        <w:pStyle w:val="Body"/>
        <w:widowControl w:val="0"/>
        <w:spacing w:before="120" w:after="0" w:line="240" w:lineRule="auto"/>
        <w:rPr>
          <w:rFonts w:ascii="Public Sans" w:eastAsia="Helvetica" w:hAnsi="Public Sans" w:cs="Segoe UI"/>
        </w:rPr>
      </w:pPr>
    </w:p>
    <w:p w:rsidR="002F5F44" w:rsidRDefault="002F5F44" w:rsidP="002F5F44">
      <w:pPr>
        <w:pStyle w:val="Body"/>
        <w:widowControl w:val="0"/>
        <w:spacing w:after="0" w:line="240" w:lineRule="auto"/>
        <w:rPr>
          <w:rFonts w:ascii="Public Sans" w:eastAsia="Helvetica" w:hAnsi="Public Sans" w:cs="Segoe UI"/>
          <w:b/>
          <w:sz w:val="18"/>
        </w:rPr>
      </w:pPr>
      <w:r w:rsidRPr="002F7582">
        <w:rPr>
          <w:rFonts w:ascii="Public Sans" w:eastAsia="Helvetica" w:hAnsi="Public Sans" w:cs="Segoe UI"/>
          <w:b/>
          <w:sz w:val="18"/>
        </w:rPr>
        <w:t>Figure 1</w:t>
      </w:r>
      <w:r w:rsidR="00BD1590">
        <w:rPr>
          <w:rFonts w:ascii="Public Sans" w:eastAsia="Helvetica" w:hAnsi="Public Sans" w:cs="Segoe UI"/>
          <w:b/>
          <w:sz w:val="18"/>
        </w:rPr>
        <w:t>3</w:t>
      </w:r>
      <w:r w:rsidRPr="002F7582">
        <w:rPr>
          <w:rFonts w:ascii="Public Sans" w:eastAsia="Helvetica" w:hAnsi="Public Sans" w:cs="Segoe UI"/>
          <w:b/>
          <w:sz w:val="18"/>
        </w:rPr>
        <w:t xml:space="preserve">: Number of allegations in reports to the ADC about adults with disability, by abuse type, </w:t>
      </w:r>
      <w:r w:rsidR="003066AE">
        <w:rPr>
          <w:rFonts w:ascii="Public Sans" w:eastAsia="Helvetica" w:hAnsi="Public Sans" w:cs="Segoe UI"/>
          <w:b/>
          <w:sz w:val="18"/>
        </w:rPr>
        <w:t>Oct</w:t>
      </w:r>
      <w:r w:rsidR="002F7582">
        <w:rPr>
          <w:rFonts w:ascii="Public Sans" w:eastAsia="Helvetica" w:hAnsi="Public Sans" w:cs="Segoe UI"/>
          <w:b/>
          <w:sz w:val="18"/>
        </w:rPr>
        <w:t>-</w:t>
      </w:r>
      <w:r w:rsidR="003066AE">
        <w:rPr>
          <w:rFonts w:ascii="Public Sans" w:eastAsia="Helvetica" w:hAnsi="Public Sans" w:cs="Segoe UI"/>
          <w:b/>
          <w:sz w:val="18"/>
        </w:rPr>
        <w:t>Dec</w:t>
      </w:r>
      <w:r w:rsidRPr="002F7582">
        <w:rPr>
          <w:rFonts w:ascii="Public Sans" w:eastAsia="Helvetica" w:hAnsi="Public Sans" w:cs="Segoe UI"/>
          <w:b/>
          <w:sz w:val="18"/>
        </w:rPr>
        <w:t xml:space="preserve"> 202</w:t>
      </w:r>
      <w:r w:rsidR="00AE44F1">
        <w:rPr>
          <w:rFonts w:ascii="Public Sans" w:eastAsia="Helvetica" w:hAnsi="Public Sans" w:cs="Segoe UI"/>
          <w:b/>
          <w:sz w:val="18"/>
        </w:rPr>
        <w:t>2</w:t>
      </w:r>
    </w:p>
    <w:p w:rsidR="00AE44F1" w:rsidRDefault="009C70B0" w:rsidP="002F5F44">
      <w:pPr>
        <w:pStyle w:val="Body"/>
        <w:widowControl w:val="0"/>
        <w:spacing w:after="0" w:line="240" w:lineRule="auto"/>
        <w:rPr>
          <w:rFonts w:ascii="Public Sans" w:eastAsia="Helvetica" w:hAnsi="Public Sans" w:cs="Segoe UI"/>
          <w:b/>
          <w:sz w:val="18"/>
        </w:rPr>
      </w:pPr>
      <w:r>
        <w:rPr>
          <w:noProof/>
        </w:rPr>
        <w:drawing>
          <wp:inline distT="0" distB="0" distL="0" distR="0" wp14:anchorId="7746EB70" wp14:editId="38905F8F">
            <wp:extent cx="6105525" cy="140017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E44F1" w:rsidRPr="002F7582" w:rsidRDefault="00AE44F1" w:rsidP="002F5F44">
      <w:pPr>
        <w:pStyle w:val="Body"/>
        <w:widowControl w:val="0"/>
        <w:spacing w:after="0" w:line="240" w:lineRule="auto"/>
        <w:rPr>
          <w:rFonts w:ascii="Public Sans" w:eastAsia="Helvetica" w:hAnsi="Public Sans" w:cs="Segoe UI"/>
          <w:sz w:val="20"/>
        </w:rPr>
      </w:pPr>
    </w:p>
    <w:p w:rsidR="00CE53C6" w:rsidRPr="005576E4" w:rsidRDefault="00CE53C6" w:rsidP="002F5F44">
      <w:pPr>
        <w:pStyle w:val="Body"/>
        <w:widowControl w:val="0"/>
        <w:spacing w:after="0" w:line="240" w:lineRule="auto"/>
        <w:ind w:left="360"/>
        <w:rPr>
          <w:rFonts w:ascii="Public Sans" w:eastAsia="Helvetica" w:hAnsi="Public Sans" w:cs="Segoe UI"/>
          <w:b/>
          <w:sz w:val="20"/>
        </w:rPr>
      </w:pPr>
    </w:p>
    <w:p w:rsidR="002F5F44" w:rsidRPr="00CE53C6" w:rsidRDefault="002F5F44" w:rsidP="002F5F44">
      <w:pPr>
        <w:pStyle w:val="Body"/>
        <w:widowControl w:val="0"/>
        <w:spacing w:after="0" w:line="240" w:lineRule="auto"/>
        <w:rPr>
          <w:rFonts w:ascii="Public Sans" w:eastAsia="Helvetica" w:hAnsi="Public Sans" w:cs="Segoe UI"/>
          <w:b/>
          <w:sz w:val="18"/>
        </w:rPr>
      </w:pPr>
      <w:r w:rsidRPr="00CE53C6">
        <w:rPr>
          <w:rFonts w:ascii="Public Sans" w:eastAsia="Helvetica" w:hAnsi="Public Sans" w:cs="Segoe UI"/>
          <w:b/>
          <w:sz w:val="18"/>
        </w:rPr>
        <w:t xml:space="preserve">Table </w:t>
      </w:r>
      <w:r w:rsidR="00234D13" w:rsidRPr="00CE53C6">
        <w:rPr>
          <w:rFonts w:ascii="Public Sans" w:eastAsia="Helvetica" w:hAnsi="Public Sans" w:cs="Segoe UI"/>
          <w:b/>
          <w:sz w:val="18"/>
        </w:rPr>
        <w:t>7</w:t>
      </w:r>
      <w:r w:rsidRPr="00CE53C6">
        <w:rPr>
          <w:rFonts w:ascii="Public Sans" w:eastAsia="Helvetica" w:hAnsi="Public Sans" w:cs="Segoe UI"/>
          <w:b/>
          <w:sz w:val="18"/>
        </w:rPr>
        <w:t xml:space="preserve">: Type of alleged abuse of the adult with disability in reports to the ADC, </w:t>
      </w:r>
      <w:r w:rsidR="00C05D9E">
        <w:rPr>
          <w:rFonts w:ascii="Public Sans" w:eastAsia="Helvetica" w:hAnsi="Public Sans" w:cs="Segoe UI"/>
          <w:b/>
          <w:sz w:val="18"/>
        </w:rPr>
        <w:t>Oct-Dec</w:t>
      </w:r>
      <w:r w:rsidRPr="00CE53C6">
        <w:rPr>
          <w:rFonts w:ascii="Public Sans" w:eastAsia="Helvetica" w:hAnsi="Public Sans" w:cs="Segoe UI"/>
          <w:b/>
          <w:sz w:val="18"/>
        </w:rPr>
        <w:t xml:space="preserve"> 202</w:t>
      </w:r>
      <w:r w:rsidR="00F123BE">
        <w:rPr>
          <w:rFonts w:ascii="Public Sans" w:eastAsia="Helvetica" w:hAnsi="Public Sans" w:cs="Segoe UI"/>
          <w:b/>
          <w:sz w:val="18"/>
        </w:rPr>
        <w:t>2</w:t>
      </w:r>
      <w:r w:rsidRPr="00CE53C6">
        <w:rPr>
          <w:rStyle w:val="FootnoteReference"/>
          <w:rFonts w:ascii="Public Sans" w:eastAsia="Helvetica" w:hAnsi="Public Sans" w:cs="Segoe UI"/>
          <w:b/>
          <w:sz w:val="18"/>
        </w:rPr>
        <w:footnoteReference w:id="6"/>
      </w:r>
    </w:p>
    <w:tbl>
      <w:tblPr>
        <w:tblStyle w:val="TableGrid"/>
        <w:tblW w:w="0" w:type="auto"/>
        <w:tblLook w:val="04A0" w:firstRow="1" w:lastRow="0" w:firstColumn="1" w:lastColumn="0" w:noHBand="0" w:noVBand="1"/>
      </w:tblPr>
      <w:tblGrid>
        <w:gridCol w:w="6938"/>
        <w:gridCol w:w="1345"/>
        <w:gridCol w:w="1345"/>
      </w:tblGrid>
      <w:tr w:rsidR="002F5F44" w:rsidRPr="005576E4" w:rsidTr="00C05D9E">
        <w:tc>
          <w:tcPr>
            <w:tcW w:w="6938" w:type="dxa"/>
            <w:shd w:val="clear" w:color="auto" w:fill="A5CCDF"/>
          </w:tcPr>
          <w:p w:rsidR="002F5F44" w:rsidRPr="005576E4" w:rsidRDefault="002F5F44" w:rsidP="0064341B">
            <w:pPr>
              <w:widowControl w:val="0"/>
              <w:spacing w:after="0" w:line="240" w:lineRule="auto"/>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Type of alleged abuse</w:t>
            </w:r>
          </w:p>
        </w:tc>
        <w:tc>
          <w:tcPr>
            <w:tcW w:w="1345" w:type="dxa"/>
            <w:shd w:val="clear" w:color="auto" w:fill="A5CCDF"/>
          </w:tcPr>
          <w:p w:rsidR="002F5F44" w:rsidRPr="005576E4" w:rsidRDefault="002F5F44" w:rsidP="0064341B">
            <w:pPr>
              <w:widowControl w:val="0"/>
              <w:spacing w:after="0" w:line="240" w:lineRule="auto"/>
              <w:jc w:val="right"/>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Number of allegations</w:t>
            </w:r>
          </w:p>
        </w:tc>
        <w:tc>
          <w:tcPr>
            <w:tcW w:w="1345" w:type="dxa"/>
            <w:shd w:val="clear" w:color="auto" w:fill="A5CCDF"/>
          </w:tcPr>
          <w:p w:rsidR="002F5F44" w:rsidRPr="005576E4" w:rsidRDefault="002F5F44" w:rsidP="0064341B">
            <w:pPr>
              <w:widowControl w:val="0"/>
              <w:spacing w:after="0" w:line="240" w:lineRule="auto"/>
              <w:jc w:val="right"/>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 of all allegations</w:t>
            </w:r>
          </w:p>
        </w:tc>
      </w:tr>
      <w:tr w:rsidR="002F5F44" w:rsidRPr="005576E4" w:rsidTr="00C05D9E">
        <w:tc>
          <w:tcPr>
            <w:tcW w:w="6938" w:type="dxa"/>
          </w:tcPr>
          <w:p w:rsidR="002F5F44" w:rsidRPr="005576E4" w:rsidRDefault="002F5F44" w:rsidP="0064341B">
            <w:pPr>
              <w:widowControl w:val="0"/>
              <w:spacing w:after="0" w:line="240" w:lineRule="auto"/>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Psychological abuse</w:t>
            </w:r>
          </w:p>
          <w:p w:rsidR="002F5F44" w:rsidRPr="005576E4" w:rsidRDefault="002F5F44" w:rsidP="0064341B">
            <w:pPr>
              <w:widowControl w:val="0"/>
              <w:spacing w:after="0" w:line="240" w:lineRule="auto"/>
              <w:rPr>
                <w:rFonts w:ascii="Public Sans" w:eastAsia="Times New Roman" w:hAnsi="Public Sans" w:cs="Segoe UI"/>
                <w:color w:val="000000"/>
                <w:sz w:val="21"/>
                <w:szCs w:val="21"/>
                <w:u w:color="000000"/>
              </w:rPr>
            </w:pPr>
          </w:p>
          <w:p w:rsidR="002F5F44" w:rsidRPr="005576E4" w:rsidRDefault="002F5F44" w:rsidP="006935AE">
            <w:pPr>
              <w:widowControl w:val="0"/>
              <w:spacing w:after="0" w:line="240" w:lineRule="auto"/>
              <w:rPr>
                <w:rFonts w:ascii="Public Sans" w:eastAsia="Times New Roman" w:hAnsi="Public Sans" w:cs="Segoe UI"/>
                <w:color w:val="000000"/>
                <w:sz w:val="21"/>
                <w:szCs w:val="21"/>
                <w:u w:color="000000"/>
              </w:rPr>
            </w:pPr>
            <w:r w:rsidRPr="005576E4">
              <w:rPr>
                <w:rFonts w:ascii="Public Sans" w:eastAsia="Times New Roman" w:hAnsi="Public Sans" w:cs="Segoe UI"/>
                <w:color w:val="000000"/>
                <w:sz w:val="21"/>
                <w:szCs w:val="21"/>
                <w:u w:color="000000"/>
              </w:rPr>
              <w:t xml:space="preserve">Mainly verbal abuse; </w:t>
            </w:r>
            <w:r w:rsidR="009E47E0">
              <w:rPr>
                <w:rFonts w:ascii="Public Sans" w:eastAsia="Times New Roman" w:hAnsi="Public Sans" w:cs="Segoe UI"/>
                <w:color w:val="000000"/>
                <w:sz w:val="21"/>
                <w:szCs w:val="21"/>
                <w:u w:color="000000"/>
              </w:rPr>
              <w:t xml:space="preserve">other psychological abuse; </w:t>
            </w:r>
            <w:r w:rsidRPr="005576E4">
              <w:rPr>
                <w:rFonts w:ascii="Public Sans" w:eastAsia="Times New Roman" w:hAnsi="Public Sans" w:cs="Segoe UI"/>
                <w:color w:val="000000"/>
                <w:sz w:val="21"/>
                <w:szCs w:val="21"/>
                <w:u w:color="000000"/>
              </w:rPr>
              <w:t xml:space="preserve">and </w:t>
            </w:r>
            <w:r w:rsidRPr="005576E4">
              <w:rPr>
                <w:rFonts w:ascii="Public Sans" w:eastAsia="Times New Roman" w:hAnsi="Public Sans" w:cs="Segoe UI"/>
                <w:color w:val="000000"/>
                <w:sz w:val="21"/>
                <w:szCs w:val="21"/>
                <w:u w:color="000000"/>
              </w:rPr>
              <w:lastRenderedPageBreak/>
              <w:t>preventing/restricting the person’s access to supports/services</w:t>
            </w:r>
          </w:p>
        </w:tc>
        <w:tc>
          <w:tcPr>
            <w:tcW w:w="1345" w:type="dxa"/>
          </w:tcPr>
          <w:p w:rsidR="002F5F44" w:rsidRPr="005576E4" w:rsidRDefault="00C05D9E" w:rsidP="00F123BE">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lastRenderedPageBreak/>
              <w:t>123</w:t>
            </w:r>
          </w:p>
        </w:tc>
        <w:tc>
          <w:tcPr>
            <w:tcW w:w="1345" w:type="dxa"/>
          </w:tcPr>
          <w:p w:rsidR="002F5F44" w:rsidRPr="005576E4" w:rsidRDefault="00C05D9E" w:rsidP="0064341B">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36.2</w:t>
            </w:r>
          </w:p>
        </w:tc>
      </w:tr>
      <w:tr w:rsidR="00C05D9E" w:rsidRPr="005576E4" w:rsidTr="00C05D9E">
        <w:tc>
          <w:tcPr>
            <w:tcW w:w="6938" w:type="dxa"/>
          </w:tcPr>
          <w:p w:rsidR="00C05D9E" w:rsidRPr="005576E4" w:rsidRDefault="00C05D9E" w:rsidP="00C05D9E">
            <w:pPr>
              <w:widowControl w:val="0"/>
              <w:spacing w:after="0" w:line="240" w:lineRule="auto"/>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Financial abuse</w:t>
            </w:r>
          </w:p>
          <w:p w:rsidR="00C05D9E" w:rsidRPr="005576E4" w:rsidRDefault="00C05D9E" w:rsidP="00C05D9E">
            <w:pPr>
              <w:widowControl w:val="0"/>
              <w:spacing w:after="0" w:line="240" w:lineRule="auto"/>
              <w:rPr>
                <w:rFonts w:ascii="Public Sans" w:eastAsia="Times New Roman" w:hAnsi="Public Sans" w:cs="Segoe UI"/>
                <w:color w:val="000000"/>
                <w:sz w:val="21"/>
                <w:szCs w:val="21"/>
                <w:u w:color="000000"/>
              </w:rPr>
            </w:pPr>
          </w:p>
          <w:p w:rsidR="00C05D9E" w:rsidRPr="005576E4" w:rsidRDefault="00C05D9E" w:rsidP="00AE3320">
            <w:pPr>
              <w:widowControl w:val="0"/>
              <w:spacing w:after="0" w:line="240" w:lineRule="auto"/>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 xml:space="preserve">(Mainly </w:t>
            </w:r>
            <w:r w:rsidR="00AE3320">
              <w:rPr>
                <w:rFonts w:ascii="Public Sans" w:eastAsia="Times New Roman" w:hAnsi="Public Sans" w:cs="Segoe UI"/>
                <w:color w:val="000000"/>
                <w:sz w:val="21"/>
                <w:szCs w:val="21"/>
                <w:u w:color="000000"/>
              </w:rPr>
              <w:t>financial exploitation; other financial abuse; and theft</w:t>
            </w:r>
            <w:r>
              <w:rPr>
                <w:rFonts w:ascii="Public Sans" w:eastAsia="Times New Roman" w:hAnsi="Public Sans" w:cs="Segoe UI"/>
                <w:color w:val="000000"/>
                <w:sz w:val="21"/>
                <w:szCs w:val="21"/>
                <w:u w:color="000000"/>
              </w:rPr>
              <w:t>)</w:t>
            </w:r>
          </w:p>
        </w:tc>
        <w:tc>
          <w:tcPr>
            <w:tcW w:w="1345" w:type="dxa"/>
          </w:tcPr>
          <w:p w:rsidR="00C05D9E" w:rsidRPr="005576E4" w:rsidRDefault="00C05D9E" w:rsidP="00C05D9E">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78</w:t>
            </w:r>
          </w:p>
        </w:tc>
        <w:tc>
          <w:tcPr>
            <w:tcW w:w="1345" w:type="dxa"/>
          </w:tcPr>
          <w:p w:rsidR="00C05D9E" w:rsidRPr="005576E4" w:rsidRDefault="00C05D9E" w:rsidP="00C05D9E">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22.9</w:t>
            </w:r>
          </w:p>
        </w:tc>
      </w:tr>
      <w:tr w:rsidR="002F5F44" w:rsidRPr="005576E4" w:rsidTr="00C05D9E">
        <w:tc>
          <w:tcPr>
            <w:tcW w:w="6938" w:type="dxa"/>
          </w:tcPr>
          <w:p w:rsidR="002F5F44" w:rsidRPr="005576E4" w:rsidRDefault="002F5F44" w:rsidP="0064341B">
            <w:pPr>
              <w:widowControl w:val="0"/>
              <w:spacing w:after="0" w:line="240" w:lineRule="auto"/>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Neglect</w:t>
            </w:r>
          </w:p>
          <w:p w:rsidR="002F5F44" w:rsidRPr="005576E4" w:rsidRDefault="002F5F44" w:rsidP="0064341B">
            <w:pPr>
              <w:widowControl w:val="0"/>
              <w:spacing w:after="0" w:line="240" w:lineRule="auto"/>
              <w:rPr>
                <w:rFonts w:ascii="Public Sans" w:eastAsia="Times New Roman" w:hAnsi="Public Sans" w:cs="Segoe UI"/>
                <w:color w:val="000000"/>
                <w:sz w:val="21"/>
                <w:szCs w:val="21"/>
                <w:u w:color="000000"/>
              </w:rPr>
            </w:pPr>
          </w:p>
          <w:p w:rsidR="002F5F44" w:rsidRPr="005576E4" w:rsidRDefault="002F5F44" w:rsidP="00AE3320">
            <w:pPr>
              <w:widowControl w:val="0"/>
              <w:spacing w:after="0" w:line="240" w:lineRule="auto"/>
              <w:rPr>
                <w:rFonts w:ascii="Public Sans" w:eastAsia="Times New Roman" w:hAnsi="Public Sans" w:cs="Segoe UI"/>
                <w:color w:val="000000"/>
                <w:sz w:val="21"/>
                <w:szCs w:val="21"/>
                <w:u w:color="000000"/>
              </w:rPr>
            </w:pPr>
            <w:r w:rsidRPr="005576E4">
              <w:rPr>
                <w:rFonts w:ascii="Public Sans" w:eastAsia="Times New Roman" w:hAnsi="Public Sans" w:cs="Segoe UI"/>
                <w:color w:val="000000"/>
                <w:sz w:val="21"/>
                <w:szCs w:val="21"/>
                <w:u w:color="000000"/>
              </w:rPr>
              <w:t xml:space="preserve">(Mainly failure to meet the person’s support needs; and </w:t>
            </w:r>
            <w:r w:rsidR="00AE3320">
              <w:rPr>
                <w:rFonts w:ascii="Public Sans" w:eastAsia="Times New Roman" w:hAnsi="Public Sans" w:cs="Segoe UI"/>
                <w:color w:val="000000"/>
                <w:sz w:val="21"/>
                <w:szCs w:val="21"/>
                <w:u w:color="000000"/>
              </w:rPr>
              <w:t>other</w:t>
            </w:r>
            <w:r w:rsidRPr="005576E4">
              <w:rPr>
                <w:rFonts w:ascii="Public Sans" w:eastAsia="Times New Roman" w:hAnsi="Public Sans" w:cs="Segoe UI"/>
                <w:color w:val="000000"/>
                <w:sz w:val="21"/>
                <w:szCs w:val="21"/>
                <w:u w:color="000000"/>
              </w:rPr>
              <w:t xml:space="preserve"> neglect)</w:t>
            </w:r>
          </w:p>
        </w:tc>
        <w:tc>
          <w:tcPr>
            <w:tcW w:w="1345" w:type="dxa"/>
          </w:tcPr>
          <w:p w:rsidR="002F5F44" w:rsidRPr="005576E4" w:rsidRDefault="00C05D9E" w:rsidP="0064341B">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77</w:t>
            </w:r>
          </w:p>
        </w:tc>
        <w:tc>
          <w:tcPr>
            <w:tcW w:w="1345" w:type="dxa"/>
          </w:tcPr>
          <w:p w:rsidR="002F5F44" w:rsidRPr="005576E4" w:rsidRDefault="00C05D9E" w:rsidP="006C3D79">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22.6</w:t>
            </w:r>
          </w:p>
        </w:tc>
      </w:tr>
      <w:tr w:rsidR="002F5F44" w:rsidRPr="005576E4" w:rsidTr="00C05D9E">
        <w:tc>
          <w:tcPr>
            <w:tcW w:w="6938" w:type="dxa"/>
          </w:tcPr>
          <w:p w:rsidR="002F5F44" w:rsidRPr="005576E4" w:rsidRDefault="002F5F44" w:rsidP="0064341B">
            <w:pPr>
              <w:widowControl w:val="0"/>
              <w:spacing w:after="0" w:line="240" w:lineRule="auto"/>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Physical abuse</w:t>
            </w:r>
          </w:p>
          <w:p w:rsidR="002F5F44" w:rsidRPr="005576E4" w:rsidRDefault="002F5F44" w:rsidP="0064341B">
            <w:pPr>
              <w:widowControl w:val="0"/>
              <w:spacing w:after="0" w:line="240" w:lineRule="auto"/>
              <w:rPr>
                <w:rFonts w:ascii="Public Sans" w:eastAsia="Times New Roman" w:hAnsi="Public Sans" w:cs="Segoe UI"/>
                <w:color w:val="000000"/>
                <w:sz w:val="21"/>
                <w:szCs w:val="21"/>
                <w:u w:color="000000"/>
              </w:rPr>
            </w:pPr>
          </w:p>
          <w:p w:rsidR="002F5F44" w:rsidRPr="005576E4" w:rsidRDefault="002F5F44" w:rsidP="00AE3320">
            <w:pPr>
              <w:widowControl w:val="0"/>
              <w:spacing w:after="0" w:line="240" w:lineRule="auto"/>
              <w:rPr>
                <w:rFonts w:ascii="Public Sans" w:eastAsia="Times New Roman" w:hAnsi="Public Sans" w:cs="Segoe UI"/>
                <w:color w:val="000000"/>
                <w:sz w:val="21"/>
                <w:szCs w:val="21"/>
                <w:u w:color="000000"/>
              </w:rPr>
            </w:pPr>
            <w:r w:rsidRPr="005576E4">
              <w:rPr>
                <w:rFonts w:ascii="Public Sans" w:eastAsia="Times New Roman" w:hAnsi="Public Sans" w:cs="Segoe UI"/>
                <w:color w:val="000000"/>
                <w:sz w:val="21"/>
                <w:szCs w:val="21"/>
                <w:u w:color="000000"/>
              </w:rPr>
              <w:t>(Mainly hitting</w:t>
            </w:r>
            <w:r w:rsidR="00CE53C6">
              <w:rPr>
                <w:rFonts w:ascii="Public Sans" w:eastAsia="Times New Roman" w:hAnsi="Public Sans" w:cs="Segoe UI"/>
                <w:color w:val="000000"/>
                <w:sz w:val="21"/>
                <w:szCs w:val="21"/>
                <w:u w:color="000000"/>
              </w:rPr>
              <w:t>/</w:t>
            </w:r>
            <w:r w:rsidRPr="005576E4">
              <w:rPr>
                <w:rFonts w:ascii="Public Sans" w:eastAsia="Times New Roman" w:hAnsi="Public Sans" w:cs="Segoe UI"/>
                <w:color w:val="000000"/>
                <w:sz w:val="21"/>
                <w:szCs w:val="21"/>
                <w:u w:color="000000"/>
              </w:rPr>
              <w:t xml:space="preserve"> kicking</w:t>
            </w:r>
            <w:r w:rsidR="00CE53C6">
              <w:rPr>
                <w:rFonts w:ascii="Public Sans" w:eastAsia="Times New Roman" w:hAnsi="Public Sans" w:cs="Segoe UI"/>
                <w:color w:val="000000"/>
                <w:sz w:val="21"/>
                <w:szCs w:val="21"/>
                <w:u w:color="000000"/>
              </w:rPr>
              <w:t>/</w:t>
            </w:r>
            <w:r w:rsidRPr="005576E4">
              <w:rPr>
                <w:rFonts w:ascii="Public Sans" w:eastAsia="Times New Roman" w:hAnsi="Public Sans" w:cs="Segoe UI"/>
                <w:color w:val="000000"/>
                <w:sz w:val="21"/>
                <w:szCs w:val="21"/>
                <w:u w:color="000000"/>
              </w:rPr>
              <w:t xml:space="preserve"> punching; </w:t>
            </w:r>
            <w:r w:rsidR="00B20DC2">
              <w:rPr>
                <w:rFonts w:ascii="Public Sans" w:eastAsia="Times New Roman" w:hAnsi="Public Sans" w:cs="Segoe UI"/>
                <w:color w:val="000000"/>
                <w:sz w:val="21"/>
                <w:szCs w:val="21"/>
                <w:u w:color="000000"/>
              </w:rPr>
              <w:t>and</w:t>
            </w:r>
            <w:r w:rsidR="00CE53C6">
              <w:rPr>
                <w:rFonts w:ascii="Public Sans" w:eastAsia="Times New Roman" w:hAnsi="Public Sans" w:cs="Segoe UI"/>
                <w:color w:val="000000"/>
                <w:sz w:val="21"/>
                <w:szCs w:val="21"/>
                <w:u w:color="000000"/>
              </w:rPr>
              <w:t xml:space="preserve"> </w:t>
            </w:r>
            <w:r w:rsidR="00076AB9">
              <w:rPr>
                <w:rFonts w:ascii="Public Sans" w:eastAsia="Times New Roman" w:hAnsi="Public Sans" w:cs="Segoe UI"/>
                <w:color w:val="000000"/>
                <w:sz w:val="21"/>
                <w:szCs w:val="21"/>
                <w:u w:color="000000"/>
              </w:rPr>
              <w:t>inappropriate use of restraint</w:t>
            </w:r>
            <w:r w:rsidRPr="005576E4">
              <w:rPr>
                <w:rFonts w:ascii="Public Sans" w:eastAsia="Times New Roman" w:hAnsi="Public Sans" w:cs="Segoe UI"/>
                <w:color w:val="000000"/>
                <w:sz w:val="21"/>
                <w:szCs w:val="21"/>
                <w:u w:color="000000"/>
              </w:rPr>
              <w:t>)</w:t>
            </w:r>
          </w:p>
        </w:tc>
        <w:tc>
          <w:tcPr>
            <w:tcW w:w="1345" w:type="dxa"/>
          </w:tcPr>
          <w:p w:rsidR="002F5F44" w:rsidRPr="005576E4" w:rsidRDefault="00C05D9E" w:rsidP="0064341B">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44</w:t>
            </w:r>
          </w:p>
        </w:tc>
        <w:tc>
          <w:tcPr>
            <w:tcW w:w="1345" w:type="dxa"/>
          </w:tcPr>
          <w:p w:rsidR="002F5F44" w:rsidRPr="005576E4" w:rsidRDefault="00C05D9E" w:rsidP="0064341B">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12.9</w:t>
            </w:r>
          </w:p>
        </w:tc>
      </w:tr>
      <w:tr w:rsidR="002F5F44" w:rsidRPr="005576E4" w:rsidTr="00C05D9E">
        <w:tc>
          <w:tcPr>
            <w:tcW w:w="6938" w:type="dxa"/>
          </w:tcPr>
          <w:p w:rsidR="002F5F44" w:rsidRPr="005576E4" w:rsidRDefault="002F5F44" w:rsidP="0064341B">
            <w:pPr>
              <w:widowControl w:val="0"/>
              <w:spacing w:after="0" w:line="240" w:lineRule="auto"/>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Sexual abuse</w:t>
            </w:r>
          </w:p>
          <w:p w:rsidR="002F5F44" w:rsidRPr="005576E4" w:rsidRDefault="002F5F44" w:rsidP="0064341B">
            <w:pPr>
              <w:widowControl w:val="0"/>
              <w:spacing w:after="0" w:line="240" w:lineRule="auto"/>
              <w:rPr>
                <w:rFonts w:ascii="Public Sans" w:eastAsia="Times New Roman" w:hAnsi="Public Sans" w:cs="Segoe UI"/>
                <w:color w:val="000000"/>
                <w:sz w:val="21"/>
                <w:szCs w:val="21"/>
                <w:u w:color="000000"/>
              </w:rPr>
            </w:pPr>
          </w:p>
          <w:p w:rsidR="002F5F44" w:rsidRPr="005576E4" w:rsidRDefault="002F5F44" w:rsidP="009E47E0">
            <w:pPr>
              <w:widowControl w:val="0"/>
              <w:spacing w:after="0" w:line="240" w:lineRule="auto"/>
              <w:rPr>
                <w:rFonts w:ascii="Public Sans" w:eastAsia="Times New Roman" w:hAnsi="Public Sans" w:cs="Segoe UI"/>
                <w:color w:val="000000"/>
                <w:sz w:val="21"/>
                <w:szCs w:val="21"/>
                <w:u w:color="000000"/>
              </w:rPr>
            </w:pPr>
            <w:r w:rsidRPr="005576E4">
              <w:rPr>
                <w:rFonts w:ascii="Public Sans" w:eastAsia="Times New Roman" w:hAnsi="Public Sans" w:cs="Segoe UI"/>
                <w:color w:val="000000"/>
                <w:sz w:val="21"/>
                <w:szCs w:val="21"/>
                <w:u w:color="000000"/>
              </w:rPr>
              <w:t xml:space="preserve">(Mainly sexual </w:t>
            </w:r>
            <w:r w:rsidR="009E47E0">
              <w:rPr>
                <w:rFonts w:ascii="Public Sans" w:eastAsia="Times New Roman" w:hAnsi="Public Sans" w:cs="Segoe UI"/>
                <w:color w:val="000000"/>
                <w:sz w:val="21"/>
                <w:szCs w:val="21"/>
                <w:u w:color="000000"/>
              </w:rPr>
              <w:t>assault</w:t>
            </w:r>
            <w:r w:rsidR="00076AB9">
              <w:rPr>
                <w:rFonts w:ascii="Public Sans" w:eastAsia="Times New Roman" w:hAnsi="Public Sans" w:cs="Segoe UI"/>
                <w:color w:val="000000"/>
                <w:sz w:val="21"/>
                <w:szCs w:val="21"/>
                <w:u w:color="000000"/>
              </w:rPr>
              <w:t>; and other sexual offences</w:t>
            </w:r>
            <w:r w:rsidRPr="005576E4">
              <w:rPr>
                <w:rFonts w:ascii="Public Sans" w:eastAsia="Times New Roman" w:hAnsi="Public Sans" w:cs="Segoe UI"/>
                <w:color w:val="000000"/>
                <w:sz w:val="21"/>
                <w:szCs w:val="21"/>
                <w:u w:color="000000"/>
              </w:rPr>
              <w:t>)</w:t>
            </w:r>
          </w:p>
        </w:tc>
        <w:tc>
          <w:tcPr>
            <w:tcW w:w="1345" w:type="dxa"/>
          </w:tcPr>
          <w:p w:rsidR="002F5F44" w:rsidRPr="005576E4" w:rsidRDefault="00C05D9E" w:rsidP="0064341B">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9</w:t>
            </w:r>
          </w:p>
        </w:tc>
        <w:tc>
          <w:tcPr>
            <w:tcW w:w="1345" w:type="dxa"/>
          </w:tcPr>
          <w:p w:rsidR="002F5F44" w:rsidRPr="005576E4" w:rsidRDefault="00C05D9E" w:rsidP="0064341B">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2.6</w:t>
            </w:r>
          </w:p>
        </w:tc>
      </w:tr>
      <w:tr w:rsidR="002F5F44" w:rsidRPr="005576E4" w:rsidTr="00C05D9E">
        <w:tc>
          <w:tcPr>
            <w:tcW w:w="6938" w:type="dxa"/>
          </w:tcPr>
          <w:p w:rsidR="002F5F44" w:rsidRPr="005576E4" w:rsidRDefault="002F5F44" w:rsidP="0064341B">
            <w:pPr>
              <w:widowControl w:val="0"/>
              <w:spacing w:after="0" w:line="240" w:lineRule="auto"/>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Other</w:t>
            </w:r>
          </w:p>
        </w:tc>
        <w:tc>
          <w:tcPr>
            <w:tcW w:w="1345" w:type="dxa"/>
          </w:tcPr>
          <w:p w:rsidR="002F5F44" w:rsidRPr="005576E4" w:rsidRDefault="00C05D9E" w:rsidP="0064341B">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9</w:t>
            </w:r>
          </w:p>
        </w:tc>
        <w:tc>
          <w:tcPr>
            <w:tcW w:w="1345" w:type="dxa"/>
          </w:tcPr>
          <w:p w:rsidR="002F5F44" w:rsidRPr="005576E4" w:rsidRDefault="00C05D9E" w:rsidP="0064341B">
            <w:pPr>
              <w:widowControl w:val="0"/>
              <w:spacing w:after="0" w:line="240" w:lineRule="auto"/>
              <w:jc w:val="right"/>
              <w:rPr>
                <w:rFonts w:ascii="Public Sans" w:eastAsia="Times New Roman" w:hAnsi="Public Sans" w:cs="Segoe UI"/>
                <w:color w:val="000000"/>
                <w:sz w:val="21"/>
                <w:szCs w:val="21"/>
                <w:u w:color="000000"/>
              </w:rPr>
            </w:pPr>
            <w:r>
              <w:rPr>
                <w:rFonts w:ascii="Public Sans" w:eastAsia="Times New Roman" w:hAnsi="Public Sans" w:cs="Segoe UI"/>
                <w:color w:val="000000"/>
                <w:sz w:val="21"/>
                <w:szCs w:val="21"/>
                <w:u w:color="000000"/>
              </w:rPr>
              <w:t>2.6</w:t>
            </w:r>
          </w:p>
        </w:tc>
      </w:tr>
      <w:tr w:rsidR="002F5F44" w:rsidRPr="005576E4" w:rsidTr="00C05D9E">
        <w:tc>
          <w:tcPr>
            <w:tcW w:w="6938" w:type="dxa"/>
          </w:tcPr>
          <w:p w:rsidR="002F5F44" w:rsidRPr="005576E4" w:rsidRDefault="002F5F44" w:rsidP="0064341B">
            <w:pPr>
              <w:widowControl w:val="0"/>
              <w:spacing w:after="0" w:line="240" w:lineRule="auto"/>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Total allegations in reports about adults with disability</w:t>
            </w:r>
          </w:p>
        </w:tc>
        <w:tc>
          <w:tcPr>
            <w:tcW w:w="1345" w:type="dxa"/>
          </w:tcPr>
          <w:p w:rsidR="002F5F44" w:rsidRPr="005576E4" w:rsidRDefault="00C05D9E" w:rsidP="0064341B">
            <w:pPr>
              <w:widowControl w:val="0"/>
              <w:spacing w:after="0" w:line="240" w:lineRule="auto"/>
              <w:jc w:val="right"/>
              <w:rPr>
                <w:rFonts w:ascii="Public Sans" w:eastAsia="Times New Roman" w:hAnsi="Public Sans" w:cs="Segoe UI"/>
                <w:b/>
                <w:color w:val="000000"/>
                <w:sz w:val="21"/>
                <w:szCs w:val="21"/>
                <w:u w:color="000000"/>
              </w:rPr>
            </w:pPr>
            <w:r>
              <w:rPr>
                <w:rFonts w:ascii="Public Sans" w:eastAsia="Times New Roman" w:hAnsi="Public Sans" w:cs="Segoe UI"/>
                <w:b/>
                <w:color w:val="000000"/>
                <w:sz w:val="21"/>
                <w:szCs w:val="21"/>
                <w:u w:color="000000"/>
              </w:rPr>
              <w:t>340</w:t>
            </w:r>
          </w:p>
        </w:tc>
        <w:tc>
          <w:tcPr>
            <w:tcW w:w="1345" w:type="dxa"/>
          </w:tcPr>
          <w:p w:rsidR="002F5F44" w:rsidRPr="005576E4" w:rsidRDefault="002F5F44" w:rsidP="0064341B">
            <w:pPr>
              <w:widowControl w:val="0"/>
              <w:spacing w:after="0" w:line="240" w:lineRule="auto"/>
              <w:jc w:val="right"/>
              <w:rPr>
                <w:rFonts w:ascii="Public Sans" w:eastAsia="Times New Roman" w:hAnsi="Public Sans" w:cs="Segoe UI"/>
                <w:b/>
                <w:color w:val="000000"/>
                <w:sz w:val="21"/>
                <w:szCs w:val="21"/>
                <w:u w:color="000000"/>
              </w:rPr>
            </w:pPr>
            <w:r w:rsidRPr="005576E4">
              <w:rPr>
                <w:rFonts w:ascii="Public Sans" w:eastAsia="Times New Roman" w:hAnsi="Public Sans" w:cs="Segoe UI"/>
                <w:b/>
                <w:color w:val="000000"/>
                <w:sz w:val="21"/>
                <w:szCs w:val="21"/>
                <w:u w:color="000000"/>
              </w:rPr>
              <w:t>100</w:t>
            </w:r>
          </w:p>
        </w:tc>
      </w:tr>
    </w:tbl>
    <w:p w:rsidR="002F5F44" w:rsidRPr="005576E4" w:rsidRDefault="002F5F44" w:rsidP="002F5F44">
      <w:pPr>
        <w:pStyle w:val="Body"/>
        <w:widowControl w:val="0"/>
        <w:spacing w:after="0" w:line="240" w:lineRule="auto"/>
        <w:rPr>
          <w:rFonts w:ascii="Public Sans" w:eastAsia="Helvetica" w:hAnsi="Public Sans" w:cs="Segoe UI"/>
          <w:b/>
          <w:sz w:val="20"/>
        </w:rPr>
      </w:pPr>
    </w:p>
    <w:p w:rsidR="002F5F44" w:rsidRPr="005576E4" w:rsidRDefault="002F5F44" w:rsidP="00A53199">
      <w:pPr>
        <w:pStyle w:val="Body"/>
        <w:widowControl w:val="0"/>
        <w:spacing w:before="120" w:after="0" w:line="240" w:lineRule="auto"/>
        <w:rPr>
          <w:rFonts w:ascii="Public Sans" w:hAnsi="Public Sans" w:cs="Segoe UI"/>
        </w:rPr>
      </w:pPr>
      <w:r w:rsidRPr="005576E4">
        <w:rPr>
          <w:rFonts w:ascii="Public Sans" w:hAnsi="Public Sans" w:cs="Segoe UI"/>
        </w:rPr>
        <w:t xml:space="preserve">The most common allegations reported in relation to adults with disability related to them </w:t>
      </w:r>
      <w:r w:rsidR="00BF0A65">
        <w:rPr>
          <w:rFonts w:ascii="Public Sans" w:hAnsi="Public Sans" w:cs="Segoe UI"/>
        </w:rPr>
        <w:t xml:space="preserve">being subject to verbal and other psychological abuse; </w:t>
      </w:r>
      <w:r w:rsidR="0016418C">
        <w:rPr>
          <w:rFonts w:ascii="Public Sans" w:hAnsi="Public Sans" w:cs="Segoe UI"/>
        </w:rPr>
        <w:t xml:space="preserve">not having their support needs met; </w:t>
      </w:r>
      <w:bookmarkStart w:id="1" w:name="_Hlk63087134"/>
      <w:r w:rsidR="00BF0A65">
        <w:rPr>
          <w:rFonts w:ascii="Public Sans" w:hAnsi="Public Sans" w:cs="Segoe UI"/>
        </w:rPr>
        <w:t>being financially exploited; and being physically assaulted</w:t>
      </w:r>
      <w:r w:rsidR="001F3FBA">
        <w:rPr>
          <w:rFonts w:ascii="Public Sans" w:hAnsi="Public Sans" w:cs="Segoe UI"/>
        </w:rPr>
        <w:t>.</w:t>
      </w:r>
      <w:r w:rsidRPr="005576E4">
        <w:rPr>
          <w:rFonts w:ascii="Public Sans" w:hAnsi="Public Sans" w:cs="Segoe UI"/>
        </w:rPr>
        <w:t xml:space="preserve"> </w:t>
      </w:r>
    </w:p>
    <w:p w:rsidR="002F5F44" w:rsidRPr="005576E4" w:rsidRDefault="002F5F44" w:rsidP="002F5F44">
      <w:pPr>
        <w:pStyle w:val="Body"/>
        <w:widowControl w:val="0"/>
        <w:spacing w:after="0" w:line="240" w:lineRule="auto"/>
        <w:rPr>
          <w:rFonts w:ascii="Public Sans" w:hAnsi="Public Sans" w:cs="Segoe UI"/>
        </w:rPr>
      </w:pPr>
    </w:p>
    <w:bookmarkEnd w:id="1"/>
    <w:p w:rsidR="002F5F44" w:rsidRPr="00C56545" w:rsidRDefault="00234D13" w:rsidP="002F5F44">
      <w:pPr>
        <w:pStyle w:val="Body"/>
        <w:widowControl w:val="0"/>
        <w:spacing w:after="0" w:line="240" w:lineRule="auto"/>
        <w:rPr>
          <w:rFonts w:ascii="Public Sans" w:eastAsia="Helvetica" w:hAnsi="Public Sans" w:cs="Segoe UI"/>
          <w:b/>
          <w:sz w:val="18"/>
        </w:rPr>
      </w:pPr>
      <w:r w:rsidRPr="00C56545">
        <w:rPr>
          <w:rFonts w:ascii="Public Sans" w:eastAsia="Helvetica" w:hAnsi="Public Sans" w:cs="Segoe UI"/>
          <w:b/>
          <w:sz w:val="18"/>
        </w:rPr>
        <w:t>Table 8</w:t>
      </w:r>
      <w:r w:rsidR="002F5F44" w:rsidRPr="00C56545">
        <w:rPr>
          <w:rFonts w:ascii="Public Sans" w:eastAsia="Helvetica" w:hAnsi="Public Sans" w:cs="Segoe UI"/>
          <w:b/>
          <w:sz w:val="18"/>
        </w:rPr>
        <w:t xml:space="preserve">: Leading reported allegations in relation to adults with disability, </w:t>
      </w:r>
      <w:r w:rsidR="00595F8F">
        <w:rPr>
          <w:rFonts w:ascii="Public Sans" w:eastAsia="Helvetica" w:hAnsi="Public Sans" w:cs="Segoe UI"/>
          <w:b/>
          <w:sz w:val="18"/>
        </w:rPr>
        <w:t>Oct</w:t>
      </w:r>
      <w:r w:rsidR="00C56545" w:rsidRPr="00C56545">
        <w:rPr>
          <w:rFonts w:ascii="Public Sans" w:eastAsia="Helvetica" w:hAnsi="Public Sans" w:cs="Segoe UI"/>
          <w:b/>
          <w:sz w:val="18"/>
        </w:rPr>
        <w:t>-</w:t>
      </w:r>
      <w:r w:rsidR="00595F8F">
        <w:rPr>
          <w:rFonts w:ascii="Public Sans" w:eastAsia="Helvetica" w:hAnsi="Public Sans" w:cs="Segoe UI"/>
          <w:b/>
          <w:sz w:val="18"/>
        </w:rPr>
        <w:t>Dec</w:t>
      </w:r>
      <w:r w:rsidR="002F5F44" w:rsidRPr="00C56545">
        <w:rPr>
          <w:rFonts w:ascii="Public Sans" w:eastAsia="Helvetica" w:hAnsi="Public Sans" w:cs="Segoe UI"/>
          <w:b/>
          <w:sz w:val="18"/>
        </w:rPr>
        <w:t xml:space="preserve"> 202</w:t>
      </w:r>
      <w:r w:rsidR="006B0F2A">
        <w:rPr>
          <w:rFonts w:ascii="Public Sans" w:eastAsia="Helvetica" w:hAnsi="Public Sans" w:cs="Segoe UI"/>
          <w:b/>
          <w:sz w:val="18"/>
        </w:rPr>
        <w:t>2</w:t>
      </w:r>
    </w:p>
    <w:tbl>
      <w:tblPr>
        <w:tblStyle w:val="TableGrid"/>
        <w:tblW w:w="5000" w:type="pct"/>
        <w:tblLook w:val="04A0" w:firstRow="1" w:lastRow="0" w:firstColumn="1" w:lastColumn="0" w:noHBand="0" w:noVBand="1"/>
      </w:tblPr>
      <w:tblGrid>
        <w:gridCol w:w="575"/>
        <w:gridCol w:w="7258"/>
        <w:gridCol w:w="1795"/>
      </w:tblGrid>
      <w:tr w:rsidR="002F5F44" w:rsidRPr="005576E4" w:rsidTr="00A17B3D">
        <w:tc>
          <w:tcPr>
            <w:tcW w:w="299" w:type="pct"/>
            <w:shd w:val="clear" w:color="auto" w:fill="A5CCDF"/>
          </w:tcPr>
          <w:p w:rsidR="002F5F44" w:rsidRPr="005576E4" w:rsidRDefault="002F5F44" w:rsidP="0064341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p>
        </w:tc>
        <w:tc>
          <w:tcPr>
            <w:tcW w:w="3769" w:type="pct"/>
            <w:shd w:val="clear" w:color="auto" w:fill="A5CCDF"/>
          </w:tcPr>
          <w:p w:rsidR="002F5F44" w:rsidRPr="005576E4" w:rsidRDefault="002F5F44" w:rsidP="0064341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b/>
                <w:sz w:val="21"/>
                <w:szCs w:val="21"/>
              </w:rPr>
            </w:pPr>
            <w:r w:rsidRPr="005576E4">
              <w:rPr>
                <w:rFonts w:ascii="Public Sans" w:eastAsia="Helvetica" w:hAnsi="Public Sans" w:cs="Segoe UI"/>
                <w:b/>
                <w:sz w:val="21"/>
                <w:szCs w:val="21"/>
              </w:rPr>
              <w:t>Reported allegation</w:t>
            </w:r>
          </w:p>
        </w:tc>
        <w:tc>
          <w:tcPr>
            <w:tcW w:w="932" w:type="pct"/>
            <w:shd w:val="clear" w:color="auto" w:fill="A5CCDF"/>
          </w:tcPr>
          <w:p w:rsidR="002F5F44" w:rsidRPr="005576E4" w:rsidRDefault="002F5F44" w:rsidP="0064341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b/>
                <w:sz w:val="21"/>
                <w:szCs w:val="21"/>
              </w:rPr>
            </w:pPr>
            <w:r w:rsidRPr="005576E4">
              <w:rPr>
                <w:rFonts w:ascii="Public Sans" w:eastAsia="Helvetica" w:hAnsi="Public Sans" w:cs="Segoe UI"/>
                <w:b/>
                <w:sz w:val="21"/>
                <w:szCs w:val="21"/>
              </w:rPr>
              <w:t>Number of cases</w:t>
            </w:r>
          </w:p>
        </w:tc>
      </w:tr>
      <w:tr w:rsidR="00C56545" w:rsidRPr="005576E4" w:rsidTr="00A17B3D">
        <w:tc>
          <w:tcPr>
            <w:tcW w:w="299" w:type="pct"/>
          </w:tcPr>
          <w:p w:rsidR="00C56545" w:rsidRPr="005576E4" w:rsidRDefault="00C56545" w:rsidP="0064341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1.</w:t>
            </w:r>
          </w:p>
        </w:tc>
        <w:tc>
          <w:tcPr>
            <w:tcW w:w="3769" w:type="pct"/>
          </w:tcPr>
          <w:p w:rsidR="00C56545" w:rsidRPr="005576E4" w:rsidRDefault="002930FB" w:rsidP="002930F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 xml:space="preserve">Psychological abuse – verbal abuse  </w:t>
            </w:r>
          </w:p>
        </w:tc>
        <w:tc>
          <w:tcPr>
            <w:tcW w:w="932" w:type="pct"/>
          </w:tcPr>
          <w:p w:rsidR="00C56545" w:rsidRPr="005576E4" w:rsidRDefault="002930FB" w:rsidP="0064341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49</w:t>
            </w:r>
          </w:p>
        </w:tc>
      </w:tr>
      <w:tr w:rsidR="00F85ADF" w:rsidRPr="005576E4" w:rsidTr="00A17B3D">
        <w:tc>
          <w:tcPr>
            <w:tcW w:w="299" w:type="pct"/>
          </w:tcPr>
          <w:p w:rsidR="00F85ADF" w:rsidRPr="005576E4" w:rsidRDefault="00F85ADF"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2.</w:t>
            </w:r>
          </w:p>
        </w:tc>
        <w:tc>
          <w:tcPr>
            <w:tcW w:w="3769" w:type="pct"/>
          </w:tcPr>
          <w:p w:rsidR="00F85ADF" w:rsidRPr="005576E4" w:rsidRDefault="00F85ADF"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 xml:space="preserve">Psychological abuse – other psychological abuse </w:t>
            </w:r>
          </w:p>
        </w:tc>
        <w:tc>
          <w:tcPr>
            <w:tcW w:w="932" w:type="pct"/>
          </w:tcPr>
          <w:p w:rsidR="00F85ADF" w:rsidRPr="005576E4" w:rsidRDefault="002930FB"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34</w:t>
            </w:r>
          </w:p>
        </w:tc>
      </w:tr>
      <w:tr w:rsidR="00F85ADF" w:rsidRPr="005576E4" w:rsidTr="00A17B3D">
        <w:tc>
          <w:tcPr>
            <w:tcW w:w="299" w:type="pct"/>
          </w:tcPr>
          <w:p w:rsidR="00F85ADF" w:rsidRPr="005576E4" w:rsidRDefault="00F85ADF"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3.</w:t>
            </w:r>
          </w:p>
        </w:tc>
        <w:tc>
          <w:tcPr>
            <w:tcW w:w="3769" w:type="pct"/>
          </w:tcPr>
          <w:p w:rsidR="00F85ADF" w:rsidRPr="005576E4" w:rsidRDefault="002930FB"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Neglect – failure to meet support needs</w:t>
            </w:r>
          </w:p>
        </w:tc>
        <w:tc>
          <w:tcPr>
            <w:tcW w:w="932" w:type="pct"/>
          </w:tcPr>
          <w:p w:rsidR="00F85ADF" w:rsidRPr="005576E4" w:rsidRDefault="002930FB"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29</w:t>
            </w:r>
          </w:p>
        </w:tc>
      </w:tr>
      <w:tr w:rsidR="00F85ADF" w:rsidRPr="005576E4" w:rsidTr="00A17B3D">
        <w:tc>
          <w:tcPr>
            <w:tcW w:w="299" w:type="pct"/>
          </w:tcPr>
          <w:p w:rsidR="00F85ADF" w:rsidRPr="005576E4" w:rsidRDefault="00F85ADF"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 xml:space="preserve">4. </w:t>
            </w:r>
          </w:p>
        </w:tc>
        <w:tc>
          <w:tcPr>
            <w:tcW w:w="3769" w:type="pct"/>
          </w:tcPr>
          <w:p w:rsidR="00F85ADF" w:rsidRPr="005576E4" w:rsidRDefault="002930FB" w:rsidP="002930F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 xml:space="preserve">Financial exploitation  </w:t>
            </w:r>
          </w:p>
        </w:tc>
        <w:tc>
          <w:tcPr>
            <w:tcW w:w="932" w:type="pct"/>
          </w:tcPr>
          <w:p w:rsidR="00F85ADF" w:rsidRPr="005576E4" w:rsidRDefault="002930FB"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23</w:t>
            </w:r>
          </w:p>
        </w:tc>
      </w:tr>
      <w:tr w:rsidR="00F85ADF" w:rsidRPr="005576E4" w:rsidTr="00A17B3D">
        <w:tc>
          <w:tcPr>
            <w:tcW w:w="299" w:type="pct"/>
          </w:tcPr>
          <w:p w:rsidR="00F85ADF" w:rsidRDefault="00F85ADF"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5.</w:t>
            </w:r>
          </w:p>
        </w:tc>
        <w:tc>
          <w:tcPr>
            <w:tcW w:w="3769" w:type="pct"/>
          </w:tcPr>
          <w:p w:rsidR="00F85ADF" w:rsidRDefault="002930FB" w:rsidP="002930F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 xml:space="preserve">Physical abuse – hitting/kicking/punching </w:t>
            </w:r>
          </w:p>
        </w:tc>
        <w:tc>
          <w:tcPr>
            <w:tcW w:w="932" w:type="pct"/>
          </w:tcPr>
          <w:p w:rsidR="00F85ADF" w:rsidRPr="005576E4" w:rsidRDefault="002930FB"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18</w:t>
            </w:r>
          </w:p>
        </w:tc>
      </w:tr>
      <w:tr w:rsidR="00F85ADF" w:rsidRPr="005576E4" w:rsidTr="00A17B3D">
        <w:tc>
          <w:tcPr>
            <w:tcW w:w="299" w:type="pct"/>
          </w:tcPr>
          <w:p w:rsidR="00F85ADF" w:rsidRPr="005576E4" w:rsidRDefault="002930FB"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5</w:t>
            </w:r>
            <w:r w:rsidR="00F85ADF" w:rsidRPr="005576E4">
              <w:rPr>
                <w:rFonts w:ascii="Public Sans" w:eastAsia="Helvetica" w:hAnsi="Public Sans" w:cs="Segoe UI"/>
                <w:sz w:val="21"/>
                <w:szCs w:val="21"/>
              </w:rPr>
              <w:t>.</w:t>
            </w:r>
          </w:p>
        </w:tc>
        <w:tc>
          <w:tcPr>
            <w:tcW w:w="3769" w:type="pct"/>
          </w:tcPr>
          <w:p w:rsidR="00F85ADF" w:rsidRPr="005576E4" w:rsidRDefault="002930FB" w:rsidP="00BF0A6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 xml:space="preserve">Psychological abuse – preventing or restricting access to supports and services   </w:t>
            </w:r>
          </w:p>
        </w:tc>
        <w:tc>
          <w:tcPr>
            <w:tcW w:w="932" w:type="pct"/>
          </w:tcPr>
          <w:p w:rsidR="00F85ADF" w:rsidRPr="005576E4" w:rsidRDefault="002930FB"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18</w:t>
            </w:r>
          </w:p>
        </w:tc>
      </w:tr>
      <w:tr w:rsidR="00BE4951" w:rsidRPr="005576E4" w:rsidTr="00A17B3D">
        <w:tc>
          <w:tcPr>
            <w:tcW w:w="299" w:type="pct"/>
          </w:tcPr>
          <w:p w:rsidR="00BE4951" w:rsidRDefault="00BE4951"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7.</w:t>
            </w:r>
          </w:p>
        </w:tc>
        <w:tc>
          <w:tcPr>
            <w:tcW w:w="3769" w:type="pct"/>
          </w:tcPr>
          <w:p w:rsidR="00BE4951" w:rsidRDefault="00BE4951"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Financial abuse – other financial abuse</w:t>
            </w:r>
          </w:p>
        </w:tc>
        <w:tc>
          <w:tcPr>
            <w:tcW w:w="932" w:type="pct"/>
          </w:tcPr>
          <w:p w:rsidR="00BE4951" w:rsidRDefault="002930FB"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14</w:t>
            </w:r>
          </w:p>
        </w:tc>
      </w:tr>
      <w:tr w:rsidR="00F85ADF" w:rsidRPr="005576E4" w:rsidTr="00A17B3D">
        <w:tc>
          <w:tcPr>
            <w:tcW w:w="299" w:type="pct"/>
          </w:tcPr>
          <w:p w:rsidR="00F85ADF" w:rsidRPr="005576E4" w:rsidRDefault="000E106C"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7</w:t>
            </w:r>
            <w:r w:rsidR="00F85ADF" w:rsidRPr="005576E4">
              <w:rPr>
                <w:rFonts w:ascii="Public Sans" w:eastAsia="Helvetica" w:hAnsi="Public Sans" w:cs="Segoe UI"/>
                <w:sz w:val="21"/>
                <w:szCs w:val="21"/>
              </w:rPr>
              <w:t>.</w:t>
            </w:r>
          </w:p>
        </w:tc>
        <w:tc>
          <w:tcPr>
            <w:tcW w:w="3769" w:type="pct"/>
          </w:tcPr>
          <w:p w:rsidR="00F85ADF" w:rsidRPr="005576E4" w:rsidRDefault="002930FB"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Financial abuse – theft</w:t>
            </w:r>
          </w:p>
        </w:tc>
        <w:tc>
          <w:tcPr>
            <w:tcW w:w="932" w:type="pct"/>
          </w:tcPr>
          <w:p w:rsidR="00F85ADF" w:rsidRPr="005576E4" w:rsidRDefault="002930FB"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14</w:t>
            </w:r>
          </w:p>
        </w:tc>
      </w:tr>
      <w:tr w:rsidR="00F85ADF" w:rsidRPr="005576E4" w:rsidTr="00A17B3D">
        <w:tc>
          <w:tcPr>
            <w:tcW w:w="299" w:type="pct"/>
          </w:tcPr>
          <w:p w:rsidR="00F85ADF" w:rsidRPr="005576E4" w:rsidRDefault="00F85ADF"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9</w:t>
            </w:r>
            <w:r w:rsidRPr="005576E4">
              <w:rPr>
                <w:rFonts w:ascii="Public Sans" w:eastAsia="Helvetica" w:hAnsi="Public Sans" w:cs="Segoe UI"/>
                <w:sz w:val="21"/>
                <w:szCs w:val="21"/>
              </w:rPr>
              <w:t>.</w:t>
            </w:r>
          </w:p>
        </w:tc>
        <w:tc>
          <w:tcPr>
            <w:tcW w:w="3769" w:type="pct"/>
          </w:tcPr>
          <w:p w:rsidR="00F85ADF" w:rsidRPr="005576E4" w:rsidRDefault="002930FB"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Financial abuse – preventing access /withholding person’s money</w:t>
            </w:r>
          </w:p>
        </w:tc>
        <w:tc>
          <w:tcPr>
            <w:tcW w:w="932" w:type="pct"/>
          </w:tcPr>
          <w:p w:rsidR="00F85ADF" w:rsidRPr="005576E4" w:rsidRDefault="002930FB"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13</w:t>
            </w:r>
          </w:p>
        </w:tc>
      </w:tr>
      <w:tr w:rsidR="00F85ADF" w:rsidRPr="005576E4" w:rsidTr="00A17B3D">
        <w:tc>
          <w:tcPr>
            <w:tcW w:w="299" w:type="pct"/>
          </w:tcPr>
          <w:p w:rsidR="00F85ADF" w:rsidRPr="005576E4" w:rsidRDefault="002930FB"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10</w:t>
            </w:r>
            <w:r w:rsidR="00F85ADF" w:rsidRPr="005576E4">
              <w:rPr>
                <w:rFonts w:ascii="Public Sans" w:eastAsia="Helvetica" w:hAnsi="Public Sans" w:cs="Segoe UI"/>
                <w:sz w:val="21"/>
                <w:szCs w:val="21"/>
              </w:rPr>
              <w:t>.</w:t>
            </w:r>
          </w:p>
        </w:tc>
        <w:tc>
          <w:tcPr>
            <w:tcW w:w="3769" w:type="pct"/>
          </w:tcPr>
          <w:p w:rsidR="00F85ADF" w:rsidRPr="005576E4" w:rsidRDefault="002930FB"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rPr>
                <w:rFonts w:ascii="Public Sans" w:eastAsia="Helvetica" w:hAnsi="Public Sans" w:cs="Segoe UI"/>
                <w:sz w:val="21"/>
                <w:szCs w:val="21"/>
              </w:rPr>
            </w:pPr>
            <w:r>
              <w:rPr>
                <w:rFonts w:ascii="Public Sans" w:eastAsia="Helvetica" w:hAnsi="Public Sans" w:cs="Segoe UI"/>
                <w:sz w:val="21"/>
                <w:szCs w:val="21"/>
              </w:rPr>
              <w:t>Psychological abuse – making excessive or degrading demands</w:t>
            </w:r>
          </w:p>
        </w:tc>
        <w:tc>
          <w:tcPr>
            <w:tcW w:w="932" w:type="pct"/>
          </w:tcPr>
          <w:p w:rsidR="00F85ADF" w:rsidRPr="005576E4" w:rsidRDefault="002930FB" w:rsidP="00F85AD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right"/>
              <w:rPr>
                <w:rFonts w:ascii="Public Sans" w:eastAsia="Helvetica" w:hAnsi="Public Sans" w:cs="Segoe UI"/>
                <w:sz w:val="21"/>
                <w:szCs w:val="21"/>
              </w:rPr>
            </w:pPr>
            <w:r>
              <w:rPr>
                <w:rFonts w:ascii="Public Sans" w:eastAsia="Helvetica" w:hAnsi="Public Sans" w:cs="Segoe UI"/>
                <w:sz w:val="21"/>
                <w:szCs w:val="21"/>
              </w:rPr>
              <w:t>10</w:t>
            </w:r>
          </w:p>
        </w:tc>
      </w:tr>
    </w:tbl>
    <w:p w:rsidR="00896D08" w:rsidRDefault="00896D08" w:rsidP="00896D08"/>
    <w:p w:rsidR="00A53199" w:rsidRDefault="00A53199" w:rsidP="00896D08"/>
    <w:p w:rsidR="00F85ADF" w:rsidRDefault="00F85ADF" w:rsidP="00896D08"/>
    <w:p w:rsidR="00DD4B9C" w:rsidRPr="007D6AE2" w:rsidRDefault="00DD4B9C" w:rsidP="00DD4B9C">
      <w:pPr>
        <w:pStyle w:val="Heading1"/>
        <w:numPr>
          <w:ilvl w:val="0"/>
          <w:numId w:val="10"/>
        </w:numPr>
        <w:ind w:left="426" w:hanging="426"/>
        <w:rPr>
          <w:rFonts w:ascii="Public Sans" w:hAnsi="Public Sans"/>
          <w:b/>
          <w:color w:val="auto"/>
        </w:rPr>
      </w:pPr>
      <w:r w:rsidRPr="007D6AE2">
        <w:rPr>
          <w:rFonts w:ascii="Public Sans" w:hAnsi="Public Sans"/>
          <w:b/>
          <w:color w:val="auto"/>
        </w:rPr>
        <w:t>Actions/ outcomes</w:t>
      </w:r>
    </w:p>
    <w:p w:rsidR="001C3F32" w:rsidRPr="007D6AE2" w:rsidRDefault="00463D6D" w:rsidP="00967D3E">
      <w:pPr>
        <w:pStyle w:val="Body"/>
        <w:widowControl w:val="0"/>
        <w:spacing w:before="240" w:after="0" w:line="240" w:lineRule="auto"/>
        <w:rPr>
          <w:rFonts w:ascii="Public Sans" w:hAnsi="Public Sans" w:cs="Segoe UI"/>
          <w:b/>
          <w:color w:val="auto"/>
        </w:rPr>
      </w:pPr>
      <w:r w:rsidRPr="007D6AE2">
        <w:rPr>
          <w:rStyle w:val="Heading2Char"/>
          <w:rFonts w:ascii="Public Sans" w:hAnsi="Public Sans"/>
          <w:b/>
          <w:color w:val="auto"/>
        </w:rPr>
        <w:t>6.1</w:t>
      </w:r>
      <w:r w:rsidRPr="007D6AE2">
        <w:rPr>
          <w:rStyle w:val="Heading2Char"/>
          <w:rFonts w:ascii="Public Sans" w:hAnsi="Public Sans"/>
          <w:b/>
          <w:color w:val="auto"/>
        </w:rPr>
        <w:tab/>
      </w:r>
      <w:r w:rsidR="001C3F32" w:rsidRPr="007D6AE2">
        <w:rPr>
          <w:rStyle w:val="Heading2Char"/>
          <w:rFonts w:ascii="Public Sans" w:hAnsi="Public Sans"/>
          <w:b/>
          <w:color w:val="auto"/>
        </w:rPr>
        <w:t>Primary action by ADC</w:t>
      </w:r>
      <w:r w:rsidR="00AB1035" w:rsidRPr="007D6AE2">
        <w:rPr>
          <w:rStyle w:val="Heading2Char"/>
          <w:rFonts w:ascii="Public Sans" w:hAnsi="Public Sans"/>
          <w:b/>
          <w:color w:val="auto"/>
        </w:rPr>
        <w:t xml:space="preserve"> (closed reports)</w:t>
      </w:r>
    </w:p>
    <w:p w:rsidR="005D6C1F" w:rsidRPr="005576E4" w:rsidRDefault="005D6C1F" w:rsidP="005D6C1F">
      <w:pPr>
        <w:pStyle w:val="Body"/>
        <w:widowControl w:val="0"/>
        <w:spacing w:after="0" w:line="240" w:lineRule="auto"/>
        <w:rPr>
          <w:rFonts w:ascii="Public Sans" w:hAnsi="Public Sans" w:cs="Segoe UI"/>
        </w:rPr>
      </w:pPr>
    </w:p>
    <w:p w:rsidR="00DD4B9C" w:rsidRPr="005576E4" w:rsidRDefault="00AC0B65" w:rsidP="005D6C1F">
      <w:pPr>
        <w:pStyle w:val="Body"/>
        <w:widowControl w:val="0"/>
        <w:spacing w:after="0" w:line="240" w:lineRule="auto"/>
        <w:rPr>
          <w:rFonts w:ascii="Public Sans" w:hAnsi="Public Sans" w:cs="Segoe UI"/>
        </w:rPr>
      </w:pPr>
      <w:r w:rsidRPr="00A90640">
        <w:rPr>
          <w:rFonts w:ascii="Public Sans" w:hAnsi="Public Sans" w:cs="Segoe UI"/>
        </w:rPr>
        <w:t>The ADC</w:t>
      </w:r>
      <w:r w:rsidRPr="005576E4">
        <w:rPr>
          <w:rFonts w:ascii="Public Sans" w:hAnsi="Public Sans" w:cs="Segoe UI"/>
        </w:rPr>
        <w:t xml:space="preserve"> closed </w:t>
      </w:r>
      <w:r w:rsidR="003141C6">
        <w:rPr>
          <w:rFonts w:ascii="Public Sans" w:hAnsi="Public Sans" w:cs="Segoe UI"/>
        </w:rPr>
        <w:t>1,037</w:t>
      </w:r>
      <w:r w:rsidRPr="005576E4">
        <w:rPr>
          <w:rFonts w:ascii="Public Sans" w:hAnsi="Public Sans" w:cs="Segoe UI"/>
        </w:rPr>
        <w:t xml:space="preserve"> reports in </w:t>
      </w:r>
      <w:r w:rsidR="003141C6">
        <w:rPr>
          <w:rFonts w:ascii="Public Sans" w:hAnsi="Public Sans" w:cs="Segoe UI"/>
        </w:rPr>
        <w:t>October</w:t>
      </w:r>
      <w:r w:rsidR="00F869E8">
        <w:rPr>
          <w:rFonts w:ascii="Public Sans" w:hAnsi="Public Sans" w:cs="Segoe UI"/>
        </w:rPr>
        <w:t xml:space="preserve"> – </w:t>
      </w:r>
      <w:r w:rsidR="003141C6">
        <w:rPr>
          <w:rFonts w:ascii="Public Sans" w:hAnsi="Public Sans" w:cs="Segoe UI"/>
        </w:rPr>
        <w:t>Dec</w:t>
      </w:r>
      <w:r w:rsidR="000B3EB5">
        <w:rPr>
          <w:rFonts w:ascii="Public Sans" w:hAnsi="Public Sans" w:cs="Segoe UI"/>
        </w:rPr>
        <w:t>ember</w:t>
      </w:r>
      <w:r w:rsidR="0014515E" w:rsidRPr="005576E4">
        <w:rPr>
          <w:rFonts w:ascii="Public Sans" w:hAnsi="Public Sans" w:cs="Segoe UI"/>
        </w:rPr>
        <w:t xml:space="preserve"> 202</w:t>
      </w:r>
      <w:r w:rsidR="00B21364">
        <w:rPr>
          <w:rFonts w:ascii="Public Sans" w:hAnsi="Public Sans" w:cs="Segoe UI"/>
        </w:rPr>
        <w:t>2</w:t>
      </w:r>
      <w:r w:rsidRPr="005576E4">
        <w:rPr>
          <w:rFonts w:ascii="Public Sans" w:hAnsi="Public Sans" w:cs="Segoe UI"/>
        </w:rPr>
        <w:t>. Most of the reports (</w:t>
      </w:r>
      <w:r w:rsidR="00730139">
        <w:rPr>
          <w:rFonts w:ascii="Public Sans" w:hAnsi="Public Sans" w:cs="Segoe UI"/>
        </w:rPr>
        <w:t>8</w:t>
      </w:r>
      <w:r w:rsidR="003141C6">
        <w:rPr>
          <w:rFonts w:ascii="Public Sans" w:hAnsi="Public Sans" w:cs="Segoe UI"/>
        </w:rPr>
        <w:t>41</w:t>
      </w:r>
      <w:r w:rsidR="00A90640">
        <w:rPr>
          <w:rFonts w:ascii="Public Sans" w:hAnsi="Public Sans" w:cs="Segoe UI"/>
        </w:rPr>
        <w:t xml:space="preserve">; </w:t>
      </w:r>
      <w:r w:rsidR="003141C6">
        <w:rPr>
          <w:rFonts w:ascii="Public Sans" w:hAnsi="Public Sans" w:cs="Segoe UI"/>
        </w:rPr>
        <w:t>81.1</w:t>
      </w:r>
      <w:r w:rsidRPr="005576E4">
        <w:rPr>
          <w:rFonts w:ascii="Public Sans" w:hAnsi="Public Sans" w:cs="Segoe UI"/>
        </w:rPr>
        <w:t xml:space="preserve">%) were handled </w:t>
      </w:r>
      <w:r w:rsidR="009B4986" w:rsidRPr="005576E4">
        <w:rPr>
          <w:rFonts w:ascii="Public Sans" w:hAnsi="Public Sans" w:cs="Segoe UI"/>
        </w:rPr>
        <w:t xml:space="preserve">at an early point </w:t>
      </w:r>
      <w:r w:rsidRPr="005576E4">
        <w:rPr>
          <w:rFonts w:ascii="Public Sans" w:hAnsi="Public Sans" w:cs="Segoe UI"/>
        </w:rPr>
        <w:t xml:space="preserve">by providing assistance and support to the caller, referring matters to other appropriate parties, and providing early case coordination to the adult. </w:t>
      </w:r>
    </w:p>
    <w:p w:rsidR="001C3F32" w:rsidRPr="005576E4" w:rsidRDefault="001C3F32" w:rsidP="00D5664F">
      <w:pPr>
        <w:pStyle w:val="Body"/>
        <w:widowControl w:val="0"/>
        <w:spacing w:after="0" w:line="240" w:lineRule="auto"/>
        <w:rPr>
          <w:rFonts w:ascii="Public Sans" w:hAnsi="Public Sans" w:cs="Segoe UI"/>
        </w:rPr>
      </w:pPr>
    </w:p>
    <w:p w:rsidR="001C3F32" w:rsidRPr="005576E4" w:rsidRDefault="001C3F32" w:rsidP="00D5664F">
      <w:pPr>
        <w:pStyle w:val="Body"/>
        <w:widowControl w:val="0"/>
        <w:spacing w:after="0" w:line="240" w:lineRule="auto"/>
        <w:rPr>
          <w:rFonts w:ascii="Public Sans" w:hAnsi="Public Sans" w:cs="Segoe UI"/>
        </w:rPr>
      </w:pPr>
      <w:r w:rsidRPr="005576E4">
        <w:rPr>
          <w:rFonts w:ascii="Public Sans" w:hAnsi="Public Sans" w:cs="Segoe UI"/>
        </w:rPr>
        <w:t xml:space="preserve">In </w:t>
      </w:r>
      <w:r w:rsidR="00F75132">
        <w:rPr>
          <w:rFonts w:ascii="Public Sans" w:hAnsi="Public Sans" w:cs="Segoe UI"/>
        </w:rPr>
        <w:t>188</w:t>
      </w:r>
      <w:r w:rsidRPr="005576E4">
        <w:rPr>
          <w:rFonts w:ascii="Public Sans" w:hAnsi="Public Sans" w:cs="Segoe UI"/>
        </w:rPr>
        <w:t xml:space="preserve"> reports closed in th</w:t>
      </w:r>
      <w:r w:rsidR="000C33EC" w:rsidRPr="005576E4">
        <w:rPr>
          <w:rFonts w:ascii="Public Sans" w:hAnsi="Public Sans" w:cs="Segoe UI"/>
        </w:rPr>
        <w:t>is period</w:t>
      </w:r>
      <w:r w:rsidR="009474D2" w:rsidRPr="005576E4">
        <w:rPr>
          <w:rFonts w:ascii="Public Sans" w:hAnsi="Public Sans" w:cs="Segoe UI"/>
        </w:rPr>
        <w:t xml:space="preserve"> (</w:t>
      </w:r>
      <w:r w:rsidR="00A90640">
        <w:rPr>
          <w:rFonts w:ascii="Public Sans" w:hAnsi="Public Sans" w:cs="Segoe UI"/>
        </w:rPr>
        <w:t>1</w:t>
      </w:r>
      <w:r w:rsidR="00F75132">
        <w:rPr>
          <w:rFonts w:ascii="Public Sans" w:hAnsi="Public Sans" w:cs="Segoe UI"/>
        </w:rPr>
        <w:t>8.1</w:t>
      </w:r>
      <w:r w:rsidR="009474D2" w:rsidRPr="005576E4">
        <w:rPr>
          <w:rFonts w:ascii="Public Sans" w:hAnsi="Public Sans" w:cs="Segoe UI"/>
        </w:rPr>
        <w:t>%)</w:t>
      </w:r>
      <w:r w:rsidRPr="005576E4">
        <w:rPr>
          <w:rFonts w:ascii="Public Sans" w:hAnsi="Public Sans" w:cs="Segoe UI"/>
        </w:rPr>
        <w:t xml:space="preserve">, </w:t>
      </w:r>
      <w:r w:rsidR="00463D6D" w:rsidRPr="005576E4">
        <w:rPr>
          <w:rFonts w:ascii="Public Sans" w:hAnsi="Public Sans" w:cs="Segoe UI"/>
        </w:rPr>
        <w:t xml:space="preserve">the primary action taken by the ADC involved further </w:t>
      </w:r>
      <w:r w:rsidR="000C33EC" w:rsidRPr="005576E4">
        <w:rPr>
          <w:rFonts w:ascii="Public Sans" w:hAnsi="Public Sans" w:cs="Segoe UI"/>
        </w:rPr>
        <w:t>work</w:t>
      </w:r>
      <w:r w:rsidR="00463D6D" w:rsidRPr="005576E4">
        <w:rPr>
          <w:rFonts w:ascii="Public Sans" w:hAnsi="Public Sans" w:cs="Segoe UI"/>
        </w:rPr>
        <w:t xml:space="preserve"> on the report, including making inquiries; working with the adult and other parties to address risks and improve outcomes; referring the matter to NSW Police; and</w:t>
      </w:r>
      <w:r w:rsidR="000C33EC" w:rsidRPr="005576E4">
        <w:rPr>
          <w:rFonts w:ascii="Public Sans" w:hAnsi="Public Sans" w:cs="Segoe UI"/>
        </w:rPr>
        <w:t>/or</w:t>
      </w:r>
      <w:r w:rsidR="00463D6D" w:rsidRPr="005576E4">
        <w:rPr>
          <w:rFonts w:ascii="Public Sans" w:hAnsi="Public Sans" w:cs="Segoe UI"/>
        </w:rPr>
        <w:t xml:space="preserve"> investigating. </w:t>
      </w:r>
    </w:p>
    <w:p w:rsidR="00DD4B9C" w:rsidRPr="005576E4" w:rsidRDefault="00DD4B9C" w:rsidP="00967D3E">
      <w:pPr>
        <w:pStyle w:val="Body"/>
        <w:widowControl w:val="0"/>
        <w:spacing w:before="120" w:after="0" w:line="240" w:lineRule="auto"/>
        <w:rPr>
          <w:rFonts w:ascii="Public Sans" w:hAnsi="Public Sans" w:cs="Segoe UI"/>
        </w:rPr>
      </w:pPr>
    </w:p>
    <w:p w:rsidR="001C3F32" w:rsidRPr="007D6AE2" w:rsidRDefault="00463D6D" w:rsidP="00463D6D">
      <w:pPr>
        <w:pStyle w:val="Heading2"/>
        <w:rPr>
          <w:rFonts w:ascii="Public Sans" w:hAnsi="Public Sans"/>
          <w:b/>
          <w:color w:val="auto"/>
        </w:rPr>
      </w:pPr>
      <w:r w:rsidRPr="007D6AE2">
        <w:rPr>
          <w:rFonts w:ascii="Public Sans" w:hAnsi="Public Sans"/>
          <w:b/>
          <w:color w:val="auto"/>
        </w:rPr>
        <w:t xml:space="preserve">6.2 </w:t>
      </w:r>
      <w:r w:rsidRPr="007D6AE2">
        <w:rPr>
          <w:rFonts w:ascii="Public Sans" w:hAnsi="Public Sans"/>
          <w:b/>
          <w:color w:val="auto"/>
        </w:rPr>
        <w:tab/>
        <w:t>Person outcomes</w:t>
      </w:r>
    </w:p>
    <w:p w:rsidR="0090069D" w:rsidRPr="005576E4" w:rsidRDefault="0090069D" w:rsidP="00EE7CF1">
      <w:pPr>
        <w:pStyle w:val="Body"/>
        <w:widowControl w:val="0"/>
        <w:spacing w:before="240" w:after="0" w:line="240" w:lineRule="auto"/>
        <w:rPr>
          <w:rFonts w:ascii="Public Sans" w:hAnsi="Public Sans" w:cs="Segoe UI"/>
        </w:rPr>
      </w:pPr>
      <w:r w:rsidRPr="005576E4">
        <w:rPr>
          <w:rFonts w:ascii="Public Sans" w:hAnsi="Public Sans" w:cs="Segoe UI"/>
        </w:rPr>
        <w:t xml:space="preserve">In relation to the </w:t>
      </w:r>
      <w:r w:rsidR="00730139">
        <w:rPr>
          <w:rFonts w:ascii="Public Sans" w:hAnsi="Public Sans" w:cs="Segoe UI"/>
        </w:rPr>
        <w:t>1,</w:t>
      </w:r>
      <w:r w:rsidR="00F75132">
        <w:rPr>
          <w:rFonts w:ascii="Public Sans" w:hAnsi="Public Sans" w:cs="Segoe UI"/>
        </w:rPr>
        <w:t>037</w:t>
      </w:r>
      <w:r w:rsidRPr="005576E4">
        <w:rPr>
          <w:rFonts w:ascii="Public Sans" w:hAnsi="Public Sans" w:cs="Segoe UI"/>
        </w:rPr>
        <w:t xml:space="preserve"> reports closed in </w:t>
      </w:r>
      <w:r w:rsidR="00F75132">
        <w:rPr>
          <w:rFonts w:ascii="Public Sans" w:hAnsi="Public Sans" w:cs="Segoe UI"/>
        </w:rPr>
        <w:t>October</w:t>
      </w:r>
      <w:r w:rsidRPr="005576E4">
        <w:rPr>
          <w:rFonts w:ascii="Public Sans" w:hAnsi="Public Sans" w:cs="Segoe UI"/>
        </w:rPr>
        <w:t xml:space="preserve"> – </w:t>
      </w:r>
      <w:r w:rsidR="00F75132">
        <w:rPr>
          <w:rFonts w:ascii="Public Sans" w:hAnsi="Public Sans" w:cs="Segoe UI"/>
        </w:rPr>
        <w:t>Dec</w:t>
      </w:r>
      <w:r w:rsidR="00730139">
        <w:rPr>
          <w:rFonts w:ascii="Public Sans" w:hAnsi="Public Sans" w:cs="Segoe UI"/>
        </w:rPr>
        <w:t>ember</w:t>
      </w:r>
      <w:r w:rsidRPr="005576E4">
        <w:rPr>
          <w:rFonts w:ascii="Public Sans" w:hAnsi="Public Sans" w:cs="Segoe UI"/>
        </w:rPr>
        <w:t xml:space="preserve"> 202</w:t>
      </w:r>
      <w:r w:rsidR="007601AC">
        <w:rPr>
          <w:rFonts w:ascii="Public Sans" w:hAnsi="Public Sans" w:cs="Segoe UI"/>
        </w:rPr>
        <w:t>2</w:t>
      </w:r>
      <w:r w:rsidRPr="005576E4">
        <w:rPr>
          <w:rFonts w:ascii="Public Sans" w:hAnsi="Public Sans" w:cs="Segoe UI"/>
        </w:rPr>
        <w:t xml:space="preserve">, key outcomes for the older people and adults with disability included that their views and wishes were ascertained and respected; </w:t>
      </w:r>
      <w:r w:rsidR="00C41AB9">
        <w:rPr>
          <w:rFonts w:ascii="Public Sans" w:hAnsi="Public Sans" w:cs="Segoe UI"/>
        </w:rPr>
        <w:t xml:space="preserve">they were assisted to access </w:t>
      </w:r>
      <w:r w:rsidR="00395A8A">
        <w:rPr>
          <w:rFonts w:ascii="Public Sans" w:hAnsi="Public Sans" w:cs="Segoe UI"/>
        </w:rPr>
        <w:t xml:space="preserve">necessary </w:t>
      </w:r>
      <w:r w:rsidR="00967D3E">
        <w:rPr>
          <w:rFonts w:ascii="Public Sans" w:hAnsi="Public Sans" w:cs="Segoe UI"/>
        </w:rPr>
        <w:t xml:space="preserve">and increased </w:t>
      </w:r>
      <w:r w:rsidR="00395A8A">
        <w:rPr>
          <w:rFonts w:ascii="Public Sans" w:hAnsi="Public Sans" w:cs="Segoe UI"/>
        </w:rPr>
        <w:t>supports;</w:t>
      </w:r>
      <w:r w:rsidRPr="005576E4">
        <w:rPr>
          <w:rFonts w:ascii="Public Sans" w:hAnsi="Public Sans" w:cs="Segoe UI"/>
        </w:rPr>
        <w:t xml:space="preserve"> </w:t>
      </w:r>
      <w:r w:rsidR="00BE29D3">
        <w:rPr>
          <w:rFonts w:ascii="Public Sans" w:hAnsi="Public Sans" w:cs="Segoe UI"/>
        </w:rPr>
        <w:t xml:space="preserve">and </w:t>
      </w:r>
      <w:r w:rsidR="00395A8A">
        <w:rPr>
          <w:rFonts w:ascii="Public Sans" w:hAnsi="Public Sans" w:cs="Segoe UI"/>
        </w:rPr>
        <w:t>they moved to alternative</w:t>
      </w:r>
      <w:r w:rsidR="00BE29D3">
        <w:rPr>
          <w:rFonts w:ascii="Public Sans" w:hAnsi="Public Sans" w:cs="Segoe UI"/>
        </w:rPr>
        <w:t xml:space="preserve"> accommodation.</w:t>
      </w:r>
    </w:p>
    <w:p w:rsidR="0090069D" w:rsidRPr="005576E4" w:rsidRDefault="0090069D" w:rsidP="0090069D">
      <w:pPr>
        <w:pStyle w:val="Body"/>
        <w:widowControl w:val="0"/>
        <w:spacing w:after="0" w:line="240" w:lineRule="auto"/>
        <w:rPr>
          <w:rFonts w:ascii="Public Sans" w:hAnsi="Public Sans" w:cs="Segoe UI"/>
        </w:rPr>
      </w:pPr>
    </w:p>
    <w:p w:rsidR="0090069D" w:rsidRPr="007D6AE2" w:rsidRDefault="0090069D" w:rsidP="0090069D">
      <w:pPr>
        <w:spacing w:after="0" w:line="240" w:lineRule="auto"/>
        <w:rPr>
          <w:rFonts w:ascii="Public Sans" w:hAnsi="Public Sans"/>
          <w:b/>
          <w:sz w:val="18"/>
        </w:rPr>
      </w:pPr>
      <w:r w:rsidRPr="007D6AE2">
        <w:rPr>
          <w:rFonts w:ascii="Public Sans" w:hAnsi="Public Sans"/>
          <w:b/>
          <w:sz w:val="18"/>
        </w:rPr>
        <w:t xml:space="preserve">Table </w:t>
      </w:r>
      <w:r w:rsidR="00BD1590">
        <w:rPr>
          <w:rFonts w:ascii="Public Sans" w:hAnsi="Public Sans"/>
          <w:b/>
          <w:sz w:val="18"/>
        </w:rPr>
        <w:t>9</w:t>
      </w:r>
      <w:r w:rsidRPr="007D6AE2">
        <w:rPr>
          <w:rFonts w:ascii="Public Sans" w:hAnsi="Public Sans"/>
          <w:b/>
          <w:sz w:val="18"/>
        </w:rPr>
        <w:t>: Leading outcomes for the person the subject of a report to the ADC, reports closed</w:t>
      </w:r>
      <w:r w:rsidR="0093282B">
        <w:rPr>
          <w:rFonts w:ascii="Public Sans" w:hAnsi="Public Sans"/>
          <w:b/>
          <w:sz w:val="18"/>
        </w:rPr>
        <w:t xml:space="preserve"> Oct</w:t>
      </w:r>
      <w:r w:rsidRPr="007D6AE2">
        <w:rPr>
          <w:rFonts w:ascii="Public Sans" w:hAnsi="Public Sans"/>
          <w:b/>
          <w:sz w:val="18"/>
        </w:rPr>
        <w:t>-</w:t>
      </w:r>
      <w:r w:rsidR="0093282B">
        <w:rPr>
          <w:rFonts w:ascii="Public Sans" w:hAnsi="Public Sans"/>
          <w:b/>
          <w:sz w:val="18"/>
        </w:rPr>
        <w:t>Dec</w:t>
      </w:r>
      <w:r w:rsidRPr="007D6AE2">
        <w:rPr>
          <w:rFonts w:ascii="Public Sans" w:hAnsi="Public Sans"/>
          <w:b/>
          <w:sz w:val="18"/>
        </w:rPr>
        <w:t xml:space="preserve"> 202</w:t>
      </w:r>
      <w:r w:rsidR="007601AC">
        <w:rPr>
          <w:rFonts w:ascii="Public Sans" w:hAnsi="Public Sans"/>
          <w:b/>
          <w:sz w:val="18"/>
        </w:rPr>
        <w:t>2</w:t>
      </w:r>
    </w:p>
    <w:tbl>
      <w:tblPr>
        <w:tblW w:w="4709" w:type="pct"/>
        <w:tblLook w:val="04A0" w:firstRow="1" w:lastRow="0" w:firstColumn="1" w:lastColumn="0" w:noHBand="0" w:noVBand="1"/>
      </w:tblPr>
      <w:tblGrid>
        <w:gridCol w:w="7000"/>
        <w:gridCol w:w="2068"/>
      </w:tblGrid>
      <w:tr w:rsidR="0090069D" w:rsidRPr="009A2E70" w:rsidTr="00967D3E">
        <w:trPr>
          <w:trHeight w:val="421"/>
        </w:trPr>
        <w:tc>
          <w:tcPr>
            <w:tcW w:w="3860" w:type="pct"/>
            <w:tcBorders>
              <w:top w:val="single" w:sz="4" w:space="0" w:color="auto"/>
              <w:left w:val="single" w:sz="4" w:space="0" w:color="auto"/>
              <w:bottom w:val="single" w:sz="4" w:space="0" w:color="auto"/>
              <w:right w:val="single" w:sz="4" w:space="0" w:color="auto"/>
            </w:tcBorders>
            <w:shd w:val="clear" w:color="auto" w:fill="A5CCDF"/>
            <w:vAlign w:val="bottom"/>
            <w:hideMark/>
          </w:tcPr>
          <w:p w:rsidR="0090069D" w:rsidRPr="009A2E70" w:rsidRDefault="0090069D" w:rsidP="008202F1">
            <w:pPr>
              <w:spacing w:after="0" w:line="240" w:lineRule="auto"/>
              <w:rPr>
                <w:rFonts w:ascii="Public Sans" w:eastAsia="Times New Roman" w:hAnsi="Public Sans" w:cs="Times New Roman"/>
                <w:b/>
                <w:bCs/>
                <w:color w:val="000000"/>
                <w:sz w:val="21"/>
                <w:szCs w:val="21"/>
                <w:lang w:eastAsia="en-AU"/>
              </w:rPr>
            </w:pPr>
            <w:r w:rsidRPr="009A2E70">
              <w:rPr>
                <w:rFonts w:ascii="Public Sans" w:eastAsia="Times New Roman" w:hAnsi="Public Sans" w:cs="Times New Roman"/>
                <w:b/>
                <w:bCs/>
                <w:color w:val="000000"/>
                <w:sz w:val="21"/>
                <w:szCs w:val="21"/>
                <w:lang w:eastAsia="en-AU"/>
              </w:rPr>
              <w:t>Person outcomes</w:t>
            </w:r>
          </w:p>
        </w:tc>
        <w:tc>
          <w:tcPr>
            <w:tcW w:w="1140" w:type="pct"/>
            <w:tcBorders>
              <w:top w:val="single" w:sz="4" w:space="0" w:color="auto"/>
              <w:left w:val="single" w:sz="4" w:space="0" w:color="auto"/>
              <w:bottom w:val="single" w:sz="4" w:space="0" w:color="auto"/>
              <w:right w:val="single" w:sz="4" w:space="0" w:color="auto"/>
            </w:tcBorders>
            <w:shd w:val="clear" w:color="auto" w:fill="A5CCDF"/>
            <w:vAlign w:val="bottom"/>
            <w:hideMark/>
          </w:tcPr>
          <w:p w:rsidR="0090069D" w:rsidRPr="009A2E70" w:rsidRDefault="0090069D" w:rsidP="008202F1">
            <w:pPr>
              <w:spacing w:after="0" w:line="240" w:lineRule="auto"/>
              <w:rPr>
                <w:rFonts w:ascii="Public Sans" w:eastAsia="Times New Roman" w:hAnsi="Public Sans" w:cs="Times New Roman"/>
                <w:b/>
                <w:bCs/>
                <w:color w:val="000000"/>
                <w:sz w:val="21"/>
                <w:szCs w:val="21"/>
                <w:lang w:eastAsia="en-AU"/>
              </w:rPr>
            </w:pPr>
            <w:r w:rsidRPr="009A2E70">
              <w:rPr>
                <w:rFonts w:ascii="Public Sans" w:eastAsia="Times New Roman" w:hAnsi="Public Sans" w:cs="Times New Roman"/>
                <w:b/>
                <w:bCs/>
                <w:color w:val="000000"/>
                <w:sz w:val="21"/>
                <w:szCs w:val="21"/>
                <w:lang w:eastAsia="en-AU"/>
              </w:rPr>
              <w:t>Number of cases</w:t>
            </w:r>
            <w:r w:rsidRPr="009A2E70">
              <w:rPr>
                <w:rStyle w:val="FootnoteReference"/>
                <w:rFonts w:ascii="Public Sans" w:eastAsia="Times New Roman" w:hAnsi="Public Sans"/>
                <w:b/>
                <w:bCs/>
                <w:color w:val="000000"/>
                <w:sz w:val="21"/>
                <w:szCs w:val="21"/>
                <w:lang w:eastAsia="en-AU"/>
              </w:rPr>
              <w:footnoteReference w:id="7"/>
            </w:r>
          </w:p>
        </w:tc>
      </w:tr>
      <w:tr w:rsidR="0090069D" w:rsidRPr="009A2E70" w:rsidTr="00967D3E">
        <w:trPr>
          <w:trHeight w:val="315"/>
        </w:trPr>
        <w:tc>
          <w:tcPr>
            <w:tcW w:w="3860"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0069D" w:rsidRPr="009A2E70" w:rsidRDefault="0090069D" w:rsidP="008202F1">
            <w:pPr>
              <w:spacing w:after="0" w:line="240" w:lineRule="auto"/>
              <w:rPr>
                <w:rFonts w:ascii="Public Sans" w:eastAsia="Times New Roman" w:hAnsi="Public Sans" w:cs="Times New Roman"/>
                <w:color w:val="000000"/>
                <w:sz w:val="21"/>
                <w:szCs w:val="21"/>
                <w:lang w:eastAsia="en-AU"/>
              </w:rPr>
            </w:pPr>
            <w:r w:rsidRPr="009A2E70">
              <w:rPr>
                <w:rFonts w:ascii="Public Sans" w:eastAsia="Times New Roman" w:hAnsi="Public Sans" w:cs="Times New Roman"/>
                <w:color w:val="000000"/>
                <w:sz w:val="21"/>
                <w:szCs w:val="21"/>
                <w:lang w:eastAsia="en-AU"/>
              </w:rPr>
              <w:t>Will and preference of Person ascertained</w:t>
            </w:r>
          </w:p>
        </w:tc>
        <w:tc>
          <w:tcPr>
            <w:tcW w:w="1140" w:type="pct"/>
            <w:tcBorders>
              <w:top w:val="single" w:sz="4" w:space="0" w:color="auto"/>
              <w:left w:val="nil"/>
              <w:bottom w:val="single" w:sz="8" w:space="0" w:color="auto"/>
              <w:right w:val="single" w:sz="8" w:space="0" w:color="auto"/>
            </w:tcBorders>
            <w:shd w:val="clear" w:color="auto" w:fill="auto"/>
            <w:noWrap/>
            <w:vAlign w:val="center"/>
          </w:tcPr>
          <w:p w:rsidR="0090069D" w:rsidRPr="009A2E70" w:rsidRDefault="0093282B" w:rsidP="00FB4EBB">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176</w:t>
            </w:r>
          </w:p>
        </w:tc>
      </w:tr>
      <w:tr w:rsidR="0090069D" w:rsidRPr="009A2E70" w:rsidTr="00967D3E">
        <w:trPr>
          <w:trHeight w:val="315"/>
        </w:trPr>
        <w:tc>
          <w:tcPr>
            <w:tcW w:w="3860" w:type="pct"/>
            <w:tcBorders>
              <w:top w:val="nil"/>
              <w:left w:val="single" w:sz="8" w:space="0" w:color="auto"/>
              <w:bottom w:val="single" w:sz="8" w:space="0" w:color="auto"/>
              <w:right w:val="single" w:sz="8" w:space="0" w:color="auto"/>
            </w:tcBorders>
            <w:shd w:val="clear" w:color="auto" w:fill="auto"/>
            <w:noWrap/>
            <w:vAlign w:val="center"/>
            <w:hideMark/>
          </w:tcPr>
          <w:p w:rsidR="0090069D" w:rsidRPr="009A2E70" w:rsidRDefault="0090069D" w:rsidP="008202F1">
            <w:pPr>
              <w:spacing w:after="0" w:line="240" w:lineRule="auto"/>
              <w:rPr>
                <w:rFonts w:ascii="Public Sans" w:eastAsia="Times New Roman" w:hAnsi="Public Sans" w:cs="Times New Roman"/>
                <w:color w:val="000000"/>
                <w:sz w:val="21"/>
                <w:szCs w:val="21"/>
                <w:lang w:eastAsia="en-AU"/>
              </w:rPr>
            </w:pPr>
            <w:r w:rsidRPr="009A2E70">
              <w:rPr>
                <w:rFonts w:ascii="Public Sans" w:eastAsia="Times New Roman" w:hAnsi="Public Sans" w:cs="Times New Roman"/>
                <w:color w:val="000000"/>
                <w:sz w:val="21"/>
                <w:szCs w:val="21"/>
                <w:lang w:eastAsia="en-AU"/>
              </w:rPr>
              <w:t>Will and preference of Person respected/upheld</w:t>
            </w:r>
          </w:p>
        </w:tc>
        <w:tc>
          <w:tcPr>
            <w:tcW w:w="1140" w:type="pct"/>
            <w:tcBorders>
              <w:top w:val="nil"/>
              <w:left w:val="nil"/>
              <w:bottom w:val="single" w:sz="8" w:space="0" w:color="auto"/>
              <w:right w:val="single" w:sz="8" w:space="0" w:color="auto"/>
            </w:tcBorders>
            <w:shd w:val="clear" w:color="auto" w:fill="auto"/>
            <w:noWrap/>
            <w:vAlign w:val="center"/>
          </w:tcPr>
          <w:p w:rsidR="0090069D" w:rsidRPr="009A2E70" w:rsidRDefault="0093282B" w:rsidP="00FB4EBB">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168</w:t>
            </w:r>
          </w:p>
        </w:tc>
      </w:tr>
      <w:tr w:rsidR="0093282B" w:rsidRPr="009A2E70" w:rsidTr="00967D3E">
        <w:trPr>
          <w:trHeight w:val="315"/>
        </w:trPr>
        <w:tc>
          <w:tcPr>
            <w:tcW w:w="3860" w:type="pct"/>
            <w:tcBorders>
              <w:top w:val="nil"/>
              <w:left w:val="single" w:sz="8" w:space="0" w:color="auto"/>
              <w:bottom w:val="single" w:sz="8" w:space="0" w:color="auto"/>
              <w:right w:val="single" w:sz="8" w:space="0" w:color="auto"/>
            </w:tcBorders>
            <w:shd w:val="clear" w:color="auto" w:fill="auto"/>
            <w:noWrap/>
            <w:vAlign w:val="bottom"/>
          </w:tcPr>
          <w:p w:rsidR="0093282B" w:rsidRPr="0093282B" w:rsidRDefault="0093282B" w:rsidP="0093282B">
            <w:pPr>
              <w:spacing w:after="0" w:line="240" w:lineRule="auto"/>
              <w:rPr>
                <w:rFonts w:ascii="Public Sans" w:eastAsia="Times New Roman" w:hAnsi="Public Sans" w:cs="Times New Roman"/>
                <w:color w:val="000000"/>
                <w:sz w:val="21"/>
                <w:szCs w:val="21"/>
                <w:lang w:eastAsia="en-AU"/>
              </w:rPr>
            </w:pPr>
            <w:r w:rsidRPr="0093282B">
              <w:rPr>
                <w:rFonts w:ascii="Public Sans" w:eastAsia="Times New Roman" w:hAnsi="Public Sans" w:cs="Times New Roman"/>
                <w:color w:val="000000"/>
                <w:sz w:val="21"/>
                <w:szCs w:val="21"/>
                <w:lang w:eastAsia="en-AU"/>
              </w:rPr>
              <w:t xml:space="preserve">Disability support provided/increased </w:t>
            </w:r>
          </w:p>
        </w:tc>
        <w:tc>
          <w:tcPr>
            <w:tcW w:w="1140" w:type="pct"/>
            <w:tcBorders>
              <w:top w:val="nil"/>
              <w:left w:val="nil"/>
              <w:bottom w:val="single" w:sz="8" w:space="0" w:color="auto"/>
              <w:right w:val="single" w:sz="8" w:space="0" w:color="auto"/>
            </w:tcBorders>
            <w:shd w:val="clear" w:color="auto" w:fill="auto"/>
            <w:noWrap/>
            <w:vAlign w:val="center"/>
          </w:tcPr>
          <w:p w:rsidR="0093282B" w:rsidRPr="009A2E70" w:rsidRDefault="0093282B" w:rsidP="0093282B">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26</w:t>
            </w:r>
          </w:p>
        </w:tc>
      </w:tr>
      <w:tr w:rsidR="0093282B" w:rsidRPr="009A2E70" w:rsidTr="00967D3E">
        <w:trPr>
          <w:trHeight w:val="315"/>
        </w:trPr>
        <w:tc>
          <w:tcPr>
            <w:tcW w:w="3860" w:type="pct"/>
            <w:tcBorders>
              <w:top w:val="nil"/>
              <w:left w:val="single" w:sz="8" w:space="0" w:color="auto"/>
              <w:bottom w:val="single" w:sz="8" w:space="0" w:color="auto"/>
              <w:right w:val="single" w:sz="8" w:space="0" w:color="auto"/>
            </w:tcBorders>
            <w:shd w:val="clear" w:color="auto" w:fill="auto"/>
            <w:noWrap/>
            <w:vAlign w:val="center"/>
          </w:tcPr>
          <w:p w:rsidR="0093282B" w:rsidRPr="009A2E70" w:rsidRDefault="0093282B" w:rsidP="0093282B">
            <w:pPr>
              <w:spacing w:after="0" w:line="240" w:lineRule="auto"/>
              <w:rPr>
                <w:rFonts w:ascii="Public Sans" w:eastAsia="Times New Roman" w:hAnsi="Public Sans" w:cs="Times New Roman"/>
                <w:color w:val="000000"/>
                <w:sz w:val="21"/>
                <w:szCs w:val="21"/>
                <w:lang w:eastAsia="en-AU"/>
              </w:rPr>
            </w:pPr>
            <w:r w:rsidRPr="009A2E70">
              <w:rPr>
                <w:rFonts w:ascii="Public Sans" w:eastAsia="Times New Roman" w:hAnsi="Public Sans" w:cs="Times New Roman"/>
                <w:color w:val="000000"/>
                <w:sz w:val="21"/>
                <w:szCs w:val="21"/>
                <w:lang w:eastAsia="en-AU"/>
              </w:rPr>
              <w:t>R</w:t>
            </w:r>
            <w:r>
              <w:rPr>
                <w:rFonts w:ascii="Public Sans" w:eastAsia="Times New Roman" w:hAnsi="Public Sans" w:cs="Times New Roman"/>
                <w:color w:val="000000"/>
                <w:sz w:val="21"/>
                <w:szCs w:val="21"/>
                <w:lang w:eastAsia="en-AU"/>
              </w:rPr>
              <w:t>eview or assessment of disability</w:t>
            </w:r>
            <w:r w:rsidRPr="009A2E70">
              <w:rPr>
                <w:rFonts w:ascii="Public Sans" w:eastAsia="Times New Roman" w:hAnsi="Public Sans" w:cs="Times New Roman"/>
                <w:color w:val="000000"/>
                <w:sz w:val="21"/>
                <w:szCs w:val="21"/>
                <w:lang w:eastAsia="en-AU"/>
              </w:rPr>
              <w:t xml:space="preserve"> supports</w:t>
            </w:r>
            <w:r>
              <w:rPr>
                <w:rFonts w:ascii="Public Sans" w:eastAsia="Times New Roman" w:hAnsi="Public Sans" w:cs="Times New Roman"/>
                <w:color w:val="000000"/>
                <w:sz w:val="21"/>
                <w:szCs w:val="21"/>
                <w:lang w:eastAsia="en-AU"/>
              </w:rPr>
              <w:t xml:space="preserve">  </w:t>
            </w:r>
          </w:p>
        </w:tc>
        <w:tc>
          <w:tcPr>
            <w:tcW w:w="1140" w:type="pct"/>
            <w:tcBorders>
              <w:top w:val="nil"/>
              <w:left w:val="nil"/>
              <w:bottom w:val="single" w:sz="8" w:space="0" w:color="auto"/>
              <w:right w:val="single" w:sz="8" w:space="0" w:color="auto"/>
            </w:tcBorders>
            <w:shd w:val="clear" w:color="auto" w:fill="auto"/>
            <w:noWrap/>
            <w:vAlign w:val="center"/>
          </w:tcPr>
          <w:p w:rsidR="0093282B" w:rsidRPr="009A2E70" w:rsidRDefault="0093282B" w:rsidP="0093282B">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23</w:t>
            </w:r>
          </w:p>
        </w:tc>
      </w:tr>
      <w:tr w:rsidR="0093282B" w:rsidRPr="009A2E70" w:rsidTr="00967D3E">
        <w:trPr>
          <w:trHeight w:val="315"/>
        </w:trPr>
        <w:tc>
          <w:tcPr>
            <w:tcW w:w="3860" w:type="pct"/>
            <w:tcBorders>
              <w:top w:val="nil"/>
              <w:left w:val="single" w:sz="8" w:space="0" w:color="auto"/>
              <w:bottom w:val="single" w:sz="8" w:space="0" w:color="auto"/>
              <w:right w:val="single" w:sz="8" w:space="0" w:color="auto"/>
            </w:tcBorders>
            <w:shd w:val="clear" w:color="auto" w:fill="auto"/>
            <w:noWrap/>
            <w:vAlign w:val="center"/>
          </w:tcPr>
          <w:p w:rsidR="0093282B" w:rsidRPr="009A2E70" w:rsidRDefault="0093282B" w:rsidP="0093282B">
            <w:pPr>
              <w:spacing w:after="0" w:line="240" w:lineRule="auto"/>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Change in accommodation</w:t>
            </w:r>
          </w:p>
        </w:tc>
        <w:tc>
          <w:tcPr>
            <w:tcW w:w="1140" w:type="pct"/>
            <w:tcBorders>
              <w:top w:val="nil"/>
              <w:left w:val="nil"/>
              <w:bottom w:val="single" w:sz="8" w:space="0" w:color="auto"/>
              <w:right w:val="single" w:sz="8" w:space="0" w:color="auto"/>
            </w:tcBorders>
            <w:shd w:val="clear" w:color="auto" w:fill="auto"/>
            <w:noWrap/>
            <w:vAlign w:val="center"/>
          </w:tcPr>
          <w:p w:rsidR="0093282B" w:rsidRPr="009A2E70" w:rsidRDefault="0093282B" w:rsidP="0093282B">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22</w:t>
            </w:r>
          </w:p>
        </w:tc>
      </w:tr>
      <w:tr w:rsidR="0093282B" w:rsidRPr="009A2E70" w:rsidTr="00967D3E">
        <w:trPr>
          <w:trHeight w:val="315"/>
        </w:trPr>
        <w:tc>
          <w:tcPr>
            <w:tcW w:w="3860" w:type="pct"/>
            <w:tcBorders>
              <w:top w:val="nil"/>
              <w:left w:val="single" w:sz="8" w:space="0" w:color="auto"/>
              <w:bottom w:val="single" w:sz="8" w:space="0" w:color="auto"/>
              <w:right w:val="single" w:sz="8" w:space="0" w:color="auto"/>
            </w:tcBorders>
            <w:shd w:val="clear" w:color="auto" w:fill="auto"/>
            <w:noWrap/>
            <w:vAlign w:val="center"/>
          </w:tcPr>
          <w:p w:rsidR="0093282B" w:rsidRPr="009A2E70" w:rsidRDefault="0093282B" w:rsidP="0093282B">
            <w:pPr>
              <w:spacing w:after="0" w:line="240" w:lineRule="auto"/>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 xml:space="preserve">Referral or help to access aged care supports </w:t>
            </w:r>
          </w:p>
        </w:tc>
        <w:tc>
          <w:tcPr>
            <w:tcW w:w="1140" w:type="pct"/>
            <w:tcBorders>
              <w:top w:val="nil"/>
              <w:left w:val="nil"/>
              <w:bottom w:val="single" w:sz="8" w:space="0" w:color="auto"/>
              <w:right w:val="single" w:sz="8" w:space="0" w:color="auto"/>
            </w:tcBorders>
            <w:shd w:val="clear" w:color="auto" w:fill="auto"/>
            <w:noWrap/>
            <w:vAlign w:val="center"/>
          </w:tcPr>
          <w:p w:rsidR="0093282B" w:rsidRPr="009A2E70" w:rsidRDefault="0093282B" w:rsidP="0093282B">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22</w:t>
            </w:r>
          </w:p>
        </w:tc>
      </w:tr>
      <w:tr w:rsidR="0093282B" w:rsidRPr="009A2E70" w:rsidTr="00967D3E">
        <w:trPr>
          <w:trHeight w:val="315"/>
        </w:trPr>
        <w:tc>
          <w:tcPr>
            <w:tcW w:w="3860" w:type="pct"/>
            <w:tcBorders>
              <w:top w:val="nil"/>
              <w:left w:val="single" w:sz="8" w:space="0" w:color="auto"/>
              <w:bottom w:val="single" w:sz="8" w:space="0" w:color="auto"/>
              <w:right w:val="single" w:sz="8" w:space="0" w:color="auto"/>
            </w:tcBorders>
            <w:shd w:val="clear" w:color="auto" w:fill="auto"/>
            <w:noWrap/>
            <w:vAlign w:val="center"/>
          </w:tcPr>
          <w:p w:rsidR="0093282B" w:rsidRPr="009A2E70" w:rsidRDefault="0093282B" w:rsidP="0093282B">
            <w:pPr>
              <w:spacing w:after="0" w:line="240" w:lineRule="auto"/>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Other police/justice action</w:t>
            </w:r>
          </w:p>
        </w:tc>
        <w:tc>
          <w:tcPr>
            <w:tcW w:w="1140" w:type="pct"/>
            <w:tcBorders>
              <w:top w:val="nil"/>
              <w:left w:val="nil"/>
              <w:bottom w:val="single" w:sz="8" w:space="0" w:color="auto"/>
              <w:right w:val="single" w:sz="8" w:space="0" w:color="auto"/>
            </w:tcBorders>
            <w:shd w:val="clear" w:color="auto" w:fill="auto"/>
            <w:noWrap/>
            <w:vAlign w:val="center"/>
          </w:tcPr>
          <w:p w:rsidR="0093282B" w:rsidRDefault="0093282B" w:rsidP="0093282B">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17</w:t>
            </w:r>
          </w:p>
        </w:tc>
      </w:tr>
      <w:tr w:rsidR="0093282B" w:rsidRPr="009A2E70" w:rsidTr="00967D3E">
        <w:trPr>
          <w:trHeight w:val="315"/>
        </w:trPr>
        <w:tc>
          <w:tcPr>
            <w:tcW w:w="3860" w:type="pct"/>
            <w:tcBorders>
              <w:top w:val="nil"/>
              <w:left w:val="single" w:sz="8" w:space="0" w:color="auto"/>
              <w:bottom w:val="single" w:sz="8" w:space="0" w:color="auto"/>
              <w:right w:val="single" w:sz="8" w:space="0" w:color="auto"/>
            </w:tcBorders>
            <w:shd w:val="clear" w:color="auto" w:fill="auto"/>
            <w:noWrap/>
            <w:vAlign w:val="center"/>
          </w:tcPr>
          <w:p w:rsidR="0093282B" w:rsidRPr="009A2E70" w:rsidRDefault="0093282B" w:rsidP="0093282B">
            <w:pPr>
              <w:spacing w:after="0" w:line="240" w:lineRule="auto"/>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Referral or help to access health services</w:t>
            </w:r>
          </w:p>
        </w:tc>
        <w:tc>
          <w:tcPr>
            <w:tcW w:w="1140" w:type="pct"/>
            <w:tcBorders>
              <w:top w:val="nil"/>
              <w:left w:val="nil"/>
              <w:bottom w:val="single" w:sz="8" w:space="0" w:color="auto"/>
              <w:right w:val="single" w:sz="8" w:space="0" w:color="auto"/>
            </w:tcBorders>
            <w:shd w:val="clear" w:color="auto" w:fill="auto"/>
            <w:noWrap/>
            <w:vAlign w:val="center"/>
          </w:tcPr>
          <w:p w:rsidR="0093282B" w:rsidRPr="009A2E70" w:rsidRDefault="0093282B" w:rsidP="0093282B">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17</w:t>
            </w:r>
          </w:p>
        </w:tc>
      </w:tr>
      <w:tr w:rsidR="0093282B" w:rsidRPr="009A2E70" w:rsidTr="00967D3E">
        <w:trPr>
          <w:trHeight w:val="315"/>
        </w:trPr>
        <w:tc>
          <w:tcPr>
            <w:tcW w:w="3860" w:type="pct"/>
            <w:tcBorders>
              <w:top w:val="nil"/>
              <w:left w:val="single" w:sz="8" w:space="0" w:color="auto"/>
              <w:bottom w:val="single" w:sz="8" w:space="0" w:color="auto"/>
              <w:right w:val="single" w:sz="8" w:space="0" w:color="auto"/>
            </w:tcBorders>
            <w:shd w:val="clear" w:color="auto" w:fill="auto"/>
            <w:noWrap/>
            <w:vAlign w:val="center"/>
          </w:tcPr>
          <w:p w:rsidR="0093282B" w:rsidRDefault="0093282B" w:rsidP="0093282B">
            <w:pPr>
              <w:spacing w:after="0" w:line="240" w:lineRule="auto"/>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Referral or help to access legal support</w:t>
            </w:r>
          </w:p>
        </w:tc>
        <w:tc>
          <w:tcPr>
            <w:tcW w:w="1140" w:type="pct"/>
            <w:tcBorders>
              <w:top w:val="nil"/>
              <w:left w:val="nil"/>
              <w:bottom w:val="single" w:sz="8" w:space="0" w:color="auto"/>
              <w:right w:val="single" w:sz="8" w:space="0" w:color="auto"/>
            </w:tcBorders>
            <w:shd w:val="clear" w:color="auto" w:fill="auto"/>
            <w:noWrap/>
            <w:vAlign w:val="center"/>
          </w:tcPr>
          <w:p w:rsidR="0093282B" w:rsidRDefault="0093282B" w:rsidP="0093282B">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17</w:t>
            </w:r>
          </w:p>
        </w:tc>
      </w:tr>
      <w:tr w:rsidR="0093282B" w:rsidRPr="009A2E70" w:rsidTr="00967D3E">
        <w:trPr>
          <w:trHeight w:val="315"/>
        </w:trPr>
        <w:tc>
          <w:tcPr>
            <w:tcW w:w="3860" w:type="pct"/>
            <w:tcBorders>
              <w:top w:val="nil"/>
              <w:left w:val="single" w:sz="8" w:space="0" w:color="auto"/>
              <w:bottom w:val="single" w:sz="4" w:space="0" w:color="auto"/>
              <w:right w:val="single" w:sz="8" w:space="0" w:color="auto"/>
            </w:tcBorders>
            <w:shd w:val="clear" w:color="auto" w:fill="auto"/>
            <w:noWrap/>
            <w:vAlign w:val="center"/>
          </w:tcPr>
          <w:p w:rsidR="0093282B" w:rsidRPr="009A2E70" w:rsidRDefault="0093282B" w:rsidP="0093282B">
            <w:pPr>
              <w:spacing w:after="0" w:line="240" w:lineRule="auto"/>
              <w:rPr>
                <w:rFonts w:ascii="Public Sans" w:eastAsia="Times New Roman" w:hAnsi="Public Sans" w:cs="Times New Roman"/>
                <w:color w:val="000000"/>
                <w:sz w:val="21"/>
                <w:szCs w:val="21"/>
                <w:lang w:eastAsia="en-AU"/>
              </w:rPr>
            </w:pPr>
            <w:r w:rsidRPr="009A2E70">
              <w:rPr>
                <w:rFonts w:ascii="Public Sans" w:eastAsia="Times New Roman" w:hAnsi="Public Sans" w:cs="Times New Roman"/>
                <w:color w:val="000000"/>
                <w:sz w:val="21"/>
                <w:szCs w:val="21"/>
                <w:lang w:eastAsia="en-AU"/>
              </w:rPr>
              <w:lastRenderedPageBreak/>
              <w:t>Referral or h</w:t>
            </w:r>
            <w:r>
              <w:rPr>
                <w:rFonts w:ascii="Public Sans" w:eastAsia="Times New Roman" w:hAnsi="Public Sans" w:cs="Times New Roman"/>
                <w:color w:val="000000"/>
                <w:sz w:val="21"/>
                <w:szCs w:val="21"/>
                <w:lang w:eastAsia="en-AU"/>
              </w:rPr>
              <w:t>elp to access other supports</w:t>
            </w:r>
          </w:p>
        </w:tc>
        <w:tc>
          <w:tcPr>
            <w:tcW w:w="1140" w:type="pct"/>
            <w:tcBorders>
              <w:top w:val="nil"/>
              <w:left w:val="nil"/>
              <w:bottom w:val="single" w:sz="4" w:space="0" w:color="auto"/>
              <w:right w:val="single" w:sz="8" w:space="0" w:color="auto"/>
            </w:tcBorders>
            <w:shd w:val="clear" w:color="auto" w:fill="auto"/>
            <w:noWrap/>
            <w:vAlign w:val="center"/>
          </w:tcPr>
          <w:p w:rsidR="0093282B" w:rsidRPr="009A2E70" w:rsidRDefault="0093282B" w:rsidP="0093282B">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17</w:t>
            </w:r>
          </w:p>
        </w:tc>
      </w:tr>
      <w:tr w:rsidR="0093282B" w:rsidRPr="009A2E70" w:rsidTr="00967D3E">
        <w:trPr>
          <w:trHeight w:val="315"/>
        </w:trPr>
        <w:tc>
          <w:tcPr>
            <w:tcW w:w="38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282B" w:rsidRPr="009A2E70" w:rsidRDefault="0093282B" w:rsidP="0093282B">
            <w:pPr>
              <w:spacing w:after="0" w:line="240" w:lineRule="auto"/>
              <w:rPr>
                <w:rFonts w:ascii="Public Sans" w:eastAsia="Times New Roman" w:hAnsi="Public Sans" w:cs="Times New Roman"/>
                <w:color w:val="000000"/>
                <w:sz w:val="21"/>
                <w:szCs w:val="21"/>
                <w:lang w:eastAsia="en-AU"/>
              </w:rPr>
            </w:pPr>
            <w:r w:rsidRPr="009A2E70">
              <w:rPr>
                <w:rFonts w:ascii="Public Sans" w:eastAsia="Times New Roman" w:hAnsi="Public Sans" w:cs="Times New Roman"/>
                <w:color w:val="000000"/>
                <w:sz w:val="21"/>
                <w:szCs w:val="21"/>
                <w:lang w:eastAsia="en-AU"/>
              </w:rPr>
              <w:t>R</w:t>
            </w:r>
            <w:r>
              <w:rPr>
                <w:rFonts w:ascii="Public Sans" w:eastAsia="Times New Roman" w:hAnsi="Public Sans" w:cs="Times New Roman"/>
                <w:color w:val="000000"/>
                <w:sz w:val="21"/>
                <w:szCs w:val="21"/>
                <w:lang w:eastAsia="en-AU"/>
              </w:rPr>
              <w:t xml:space="preserve">eview or assessment of aged care </w:t>
            </w:r>
            <w:r w:rsidRPr="009A2E70">
              <w:rPr>
                <w:rFonts w:ascii="Public Sans" w:eastAsia="Times New Roman" w:hAnsi="Public Sans" w:cs="Times New Roman"/>
                <w:color w:val="000000"/>
                <w:sz w:val="21"/>
                <w:szCs w:val="21"/>
                <w:lang w:eastAsia="en-AU"/>
              </w:rPr>
              <w:t>supports</w:t>
            </w:r>
            <w:r>
              <w:rPr>
                <w:rFonts w:ascii="Public Sans" w:eastAsia="Times New Roman" w:hAnsi="Public Sans" w:cs="Times New Roman"/>
                <w:color w:val="000000"/>
                <w:sz w:val="21"/>
                <w:szCs w:val="21"/>
                <w:lang w:eastAsia="en-AU"/>
              </w:rPr>
              <w:t xml:space="preserve">  </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282B" w:rsidRPr="009A2E70" w:rsidRDefault="0093282B" w:rsidP="0093282B">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17</w:t>
            </w:r>
          </w:p>
        </w:tc>
      </w:tr>
      <w:tr w:rsidR="0093282B" w:rsidRPr="009A2E70" w:rsidTr="00967D3E">
        <w:trPr>
          <w:trHeight w:val="315"/>
        </w:trPr>
        <w:tc>
          <w:tcPr>
            <w:tcW w:w="38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282B" w:rsidRDefault="0093282B" w:rsidP="0093282B">
            <w:pPr>
              <w:spacing w:after="0" w:line="240" w:lineRule="auto"/>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Financial management application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282B" w:rsidRDefault="0093282B" w:rsidP="0093282B">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16</w:t>
            </w:r>
          </w:p>
        </w:tc>
      </w:tr>
      <w:tr w:rsidR="0093282B" w:rsidRPr="009A2E70" w:rsidTr="00967D3E">
        <w:trPr>
          <w:trHeight w:val="315"/>
        </w:trPr>
        <w:tc>
          <w:tcPr>
            <w:tcW w:w="38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282B" w:rsidRDefault="0093282B" w:rsidP="0093282B">
            <w:pPr>
              <w:spacing w:after="0" w:line="240" w:lineRule="auto"/>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Aged care support provided/increased</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282B" w:rsidRDefault="0093282B" w:rsidP="0093282B">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16</w:t>
            </w:r>
          </w:p>
        </w:tc>
      </w:tr>
    </w:tbl>
    <w:p w:rsidR="009060B7" w:rsidRDefault="009060B7" w:rsidP="00954077">
      <w:pPr>
        <w:rPr>
          <w:rFonts w:ascii="Public Sans" w:hAnsi="Public Sans"/>
        </w:rPr>
      </w:pPr>
    </w:p>
    <w:p w:rsidR="00463D6D" w:rsidRPr="0066456C" w:rsidRDefault="004D68DC" w:rsidP="00967D3E">
      <w:pPr>
        <w:pStyle w:val="Heading2"/>
        <w:spacing w:before="120"/>
        <w:rPr>
          <w:rFonts w:ascii="Public Sans" w:hAnsi="Public Sans"/>
          <w:b/>
          <w:color w:val="auto"/>
        </w:rPr>
      </w:pPr>
      <w:r w:rsidRPr="0066456C">
        <w:rPr>
          <w:rFonts w:ascii="Public Sans" w:hAnsi="Public Sans"/>
          <w:b/>
          <w:color w:val="auto"/>
        </w:rPr>
        <w:t>6.3</w:t>
      </w:r>
      <w:r w:rsidRPr="0066456C">
        <w:rPr>
          <w:rFonts w:ascii="Public Sans" w:hAnsi="Public Sans"/>
          <w:b/>
          <w:color w:val="auto"/>
        </w:rPr>
        <w:tab/>
        <w:t>Subject of a</w:t>
      </w:r>
      <w:r w:rsidR="00463D6D" w:rsidRPr="0066456C">
        <w:rPr>
          <w:rFonts w:ascii="Public Sans" w:hAnsi="Public Sans"/>
          <w:b/>
          <w:color w:val="auto"/>
        </w:rPr>
        <w:t>llegation outcomes</w:t>
      </w:r>
    </w:p>
    <w:p w:rsidR="0090069D" w:rsidRDefault="0090069D" w:rsidP="00EE7CF1">
      <w:pPr>
        <w:pStyle w:val="Body"/>
        <w:widowControl w:val="0"/>
        <w:spacing w:before="240" w:after="0" w:line="240" w:lineRule="auto"/>
        <w:rPr>
          <w:rFonts w:ascii="Public Sans" w:hAnsi="Public Sans" w:cs="Segoe UI"/>
        </w:rPr>
      </w:pPr>
      <w:r w:rsidRPr="005576E4">
        <w:rPr>
          <w:rFonts w:ascii="Public Sans" w:hAnsi="Public Sans" w:cs="Segoe UI"/>
        </w:rPr>
        <w:t xml:space="preserve">For the </w:t>
      </w:r>
      <w:r w:rsidR="00156EF4">
        <w:rPr>
          <w:rFonts w:ascii="Public Sans" w:hAnsi="Public Sans" w:cs="Segoe UI"/>
        </w:rPr>
        <w:t>1,</w:t>
      </w:r>
      <w:r w:rsidR="00967D3E">
        <w:rPr>
          <w:rFonts w:ascii="Public Sans" w:hAnsi="Public Sans" w:cs="Segoe UI"/>
        </w:rPr>
        <w:t>037</w:t>
      </w:r>
      <w:r w:rsidRPr="005576E4">
        <w:rPr>
          <w:rFonts w:ascii="Public Sans" w:hAnsi="Public Sans" w:cs="Segoe UI"/>
        </w:rPr>
        <w:t xml:space="preserve"> reports closed during this quarter, key outcomes in relation to the subject of allegation included that actions were taken to reduce or manage their contact with and access to the adult with disability/ older person (including through an ADVO). In appropriate cases, subjects of allegation were also provided with education or advice, and linked to additional supports.</w:t>
      </w:r>
    </w:p>
    <w:p w:rsidR="00EE7CF1" w:rsidRPr="005576E4" w:rsidRDefault="00EE7CF1" w:rsidP="00EE7CF1">
      <w:pPr>
        <w:pStyle w:val="Body"/>
        <w:widowControl w:val="0"/>
        <w:spacing w:before="240" w:after="0" w:line="240" w:lineRule="auto"/>
        <w:rPr>
          <w:rFonts w:ascii="Public Sans" w:hAnsi="Public Sans" w:cs="Segoe UI"/>
        </w:rPr>
      </w:pPr>
    </w:p>
    <w:p w:rsidR="0090069D" w:rsidRPr="005576E4" w:rsidRDefault="0090069D" w:rsidP="0090069D">
      <w:pPr>
        <w:pStyle w:val="Body"/>
        <w:widowControl w:val="0"/>
        <w:spacing w:after="0" w:line="240" w:lineRule="auto"/>
        <w:rPr>
          <w:rFonts w:ascii="Public Sans" w:hAnsi="Public Sans" w:cs="Segoe UI"/>
        </w:rPr>
      </w:pPr>
    </w:p>
    <w:p w:rsidR="0090069D" w:rsidRPr="006C3E4E" w:rsidRDefault="0090069D" w:rsidP="0090069D">
      <w:pPr>
        <w:spacing w:after="0" w:line="240" w:lineRule="auto"/>
        <w:rPr>
          <w:rFonts w:ascii="Public Sans" w:hAnsi="Public Sans"/>
          <w:b/>
          <w:sz w:val="18"/>
        </w:rPr>
      </w:pPr>
      <w:r w:rsidRPr="006C3E4E">
        <w:rPr>
          <w:rFonts w:ascii="Public Sans" w:hAnsi="Public Sans"/>
          <w:b/>
          <w:sz w:val="18"/>
        </w:rPr>
        <w:t xml:space="preserve">Table </w:t>
      </w:r>
      <w:r w:rsidR="00234D13" w:rsidRPr="006C3E4E">
        <w:rPr>
          <w:rFonts w:ascii="Public Sans" w:hAnsi="Public Sans"/>
          <w:b/>
          <w:sz w:val="18"/>
        </w:rPr>
        <w:t>1</w:t>
      </w:r>
      <w:r w:rsidR="00BD1590">
        <w:rPr>
          <w:rFonts w:ascii="Public Sans" w:hAnsi="Public Sans"/>
          <w:b/>
          <w:sz w:val="18"/>
        </w:rPr>
        <w:t>0</w:t>
      </w:r>
      <w:r w:rsidRPr="006C3E4E">
        <w:rPr>
          <w:rFonts w:ascii="Public Sans" w:hAnsi="Public Sans"/>
          <w:b/>
          <w:sz w:val="18"/>
        </w:rPr>
        <w:t xml:space="preserve">: Leading outcomes in relation to the subject of allegation in a report to the ADC, reports closed </w:t>
      </w:r>
      <w:r w:rsidR="00967D3E">
        <w:rPr>
          <w:rFonts w:ascii="Public Sans" w:hAnsi="Public Sans"/>
          <w:b/>
          <w:sz w:val="18"/>
        </w:rPr>
        <w:t>Oct</w:t>
      </w:r>
      <w:r w:rsidR="00081556">
        <w:rPr>
          <w:rFonts w:ascii="Public Sans" w:hAnsi="Public Sans"/>
          <w:b/>
          <w:sz w:val="18"/>
        </w:rPr>
        <w:t>-</w:t>
      </w:r>
      <w:r w:rsidR="00967D3E">
        <w:rPr>
          <w:rFonts w:ascii="Public Sans" w:hAnsi="Public Sans"/>
          <w:b/>
          <w:sz w:val="18"/>
        </w:rPr>
        <w:t>Dec</w:t>
      </w:r>
      <w:r w:rsidRPr="006C3E4E">
        <w:rPr>
          <w:rFonts w:ascii="Public Sans" w:hAnsi="Public Sans"/>
          <w:b/>
          <w:sz w:val="18"/>
        </w:rPr>
        <w:t xml:space="preserve"> 202</w:t>
      </w:r>
      <w:r w:rsidR="00C52562">
        <w:rPr>
          <w:rFonts w:ascii="Public Sans" w:hAnsi="Public Sans"/>
          <w:b/>
          <w:sz w:val="18"/>
        </w:rPr>
        <w:t>2</w:t>
      </w: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0"/>
        <w:gridCol w:w="2068"/>
      </w:tblGrid>
      <w:tr w:rsidR="0090069D" w:rsidRPr="009A2E70" w:rsidTr="00DB0419">
        <w:trPr>
          <w:trHeight w:val="349"/>
        </w:trPr>
        <w:tc>
          <w:tcPr>
            <w:tcW w:w="3860" w:type="pct"/>
            <w:shd w:val="clear" w:color="auto" w:fill="A5CCDF"/>
            <w:vAlign w:val="bottom"/>
            <w:hideMark/>
          </w:tcPr>
          <w:p w:rsidR="0090069D" w:rsidRPr="009A2E70" w:rsidRDefault="0090069D" w:rsidP="008202F1">
            <w:pPr>
              <w:spacing w:after="0" w:line="240" w:lineRule="auto"/>
              <w:rPr>
                <w:rFonts w:ascii="Public Sans" w:eastAsia="Times New Roman" w:hAnsi="Public Sans" w:cs="Times New Roman"/>
                <w:b/>
                <w:bCs/>
                <w:color w:val="000000"/>
                <w:sz w:val="21"/>
                <w:szCs w:val="21"/>
                <w:lang w:eastAsia="en-AU"/>
              </w:rPr>
            </w:pPr>
            <w:r w:rsidRPr="009A2E70">
              <w:rPr>
                <w:rFonts w:ascii="Public Sans" w:eastAsia="Times New Roman" w:hAnsi="Public Sans" w:cs="Times New Roman"/>
                <w:b/>
                <w:bCs/>
                <w:color w:val="000000"/>
                <w:sz w:val="21"/>
                <w:szCs w:val="21"/>
                <w:lang w:eastAsia="en-AU"/>
              </w:rPr>
              <w:t>Subject of allegation outcomes</w:t>
            </w:r>
          </w:p>
        </w:tc>
        <w:tc>
          <w:tcPr>
            <w:tcW w:w="1140" w:type="pct"/>
            <w:shd w:val="clear" w:color="auto" w:fill="A5CCDF"/>
            <w:vAlign w:val="bottom"/>
            <w:hideMark/>
          </w:tcPr>
          <w:p w:rsidR="0090069D" w:rsidRPr="009A2E70" w:rsidRDefault="0090069D" w:rsidP="008202F1">
            <w:pPr>
              <w:spacing w:after="0" w:line="240" w:lineRule="auto"/>
              <w:rPr>
                <w:rFonts w:ascii="Public Sans" w:eastAsia="Times New Roman" w:hAnsi="Public Sans" w:cs="Times New Roman"/>
                <w:b/>
                <w:bCs/>
                <w:color w:val="000000"/>
                <w:sz w:val="21"/>
                <w:szCs w:val="21"/>
                <w:lang w:eastAsia="en-AU"/>
              </w:rPr>
            </w:pPr>
            <w:r w:rsidRPr="009A2E70">
              <w:rPr>
                <w:rFonts w:ascii="Public Sans" w:eastAsia="Times New Roman" w:hAnsi="Public Sans" w:cs="Times New Roman"/>
                <w:b/>
                <w:bCs/>
                <w:color w:val="000000"/>
                <w:sz w:val="21"/>
                <w:szCs w:val="21"/>
                <w:lang w:eastAsia="en-AU"/>
              </w:rPr>
              <w:t>Number of cases</w:t>
            </w:r>
            <w:r w:rsidRPr="009A2E70">
              <w:rPr>
                <w:rStyle w:val="FootnoteReference"/>
                <w:rFonts w:ascii="Public Sans" w:eastAsia="Times New Roman" w:hAnsi="Public Sans" w:cs="Times New Roman"/>
                <w:b/>
                <w:bCs/>
                <w:color w:val="000000"/>
                <w:sz w:val="21"/>
                <w:szCs w:val="21"/>
                <w:lang w:eastAsia="en-AU"/>
              </w:rPr>
              <w:footnoteReference w:id="8"/>
            </w:r>
          </w:p>
        </w:tc>
      </w:tr>
      <w:tr w:rsidR="0090069D" w:rsidRPr="009A2E70" w:rsidTr="00DB0419">
        <w:trPr>
          <w:trHeight w:val="315"/>
        </w:trPr>
        <w:tc>
          <w:tcPr>
            <w:tcW w:w="3860" w:type="pct"/>
            <w:shd w:val="clear" w:color="auto" w:fill="auto"/>
            <w:noWrap/>
            <w:vAlign w:val="center"/>
            <w:hideMark/>
          </w:tcPr>
          <w:p w:rsidR="0090069D" w:rsidRPr="009A2E70" w:rsidRDefault="0090069D" w:rsidP="008202F1">
            <w:pPr>
              <w:spacing w:after="0" w:line="240" w:lineRule="auto"/>
              <w:rPr>
                <w:rFonts w:ascii="Public Sans" w:eastAsia="Times New Roman" w:hAnsi="Public Sans" w:cs="Times New Roman"/>
                <w:color w:val="000000"/>
                <w:sz w:val="21"/>
                <w:szCs w:val="21"/>
                <w:lang w:eastAsia="en-AU"/>
              </w:rPr>
            </w:pPr>
            <w:r w:rsidRPr="009A2E70">
              <w:rPr>
                <w:rFonts w:ascii="Public Sans" w:eastAsia="Times New Roman" w:hAnsi="Public Sans" w:cs="Times New Roman"/>
                <w:color w:val="000000"/>
                <w:sz w:val="21"/>
                <w:szCs w:val="21"/>
                <w:lang w:eastAsia="en-AU"/>
              </w:rPr>
              <w:t>Education or advice provided</w:t>
            </w:r>
          </w:p>
        </w:tc>
        <w:tc>
          <w:tcPr>
            <w:tcW w:w="1140" w:type="pct"/>
            <w:shd w:val="clear" w:color="auto" w:fill="auto"/>
            <w:noWrap/>
            <w:vAlign w:val="center"/>
          </w:tcPr>
          <w:p w:rsidR="0090069D" w:rsidRPr="009A2E70" w:rsidRDefault="00967D3E" w:rsidP="00BE29D3">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245</w:t>
            </w:r>
          </w:p>
        </w:tc>
      </w:tr>
      <w:tr w:rsidR="0090069D" w:rsidRPr="009A2E70" w:rsidTr="00DB0419">
        <w:trPr>
          <w:trHeight w:val="315"/>
        </w:trPr>
        <w:tc>
          <w:tcPr>
            <w:tcW w:w="3860" w:type="pct"/>
            <w:shd w:val="clear" w:color="auto" w:fill="auto"/>
            <w:noWrap/>
            <w:vAlign w:val="center"/>
            <w:hideMark/>
          </w:tcPr>
          <w:p w:rsidR="0090069D" w:rsidRPr="009A2E70" w:rsidRDefault="0090069D" w:rsidP="008202F1">
            <w:pPr>
              <w:spacing w:after="0" w:line="240" w:lineRule="auto"/>
              <w:rPr>
                <w:rFonts w:ascii="Public Sans" w:eastAsia="Times New Roman" w:hAnsi="Public Sans" w:cs="Times New Roman"/>
                <w:color w:val="000000"/>
                <w:sz w:val="21"/>
                <w:szCs w:val="21"/>
                <w:lang w:eastAsia="en-AU"/>
              </w:rPr>
            </w:pPr>
            <w:r w:rsidRPr="009A2E70">
              <w:rPr>
                <w:rFonts w:ascii="Public Sans" w:eastAsia="Times New Roman" w:hAnsi="Public Sans" w:cs="Times New Roman"/>
                <w:color w:val="000000"/>
                <w:sz w:val="21"/>
                <w:szCs w:val="21"/>
                <w:lang w:eastAsia="en-AU"/>
              </w:rPr>
              <w:t>Linked to/received more support</w:t>
            </w:r>
          </w:p>
        </w:tc>
        <w:tc>
          <w:tcPr>
            <w:tcW w:w="1140" w:type="pct"/>
            <w:shd w:val="clear" w:color="auto" w:fill="auto"/>
            <w:noWrap/>
            <w:vAlign w:val="center"/>
          </w:tcPr>
          <w:p w:rsidR="0090069D" w:rsidRPr="009A2E70" w:rsidRDefault="00967D3E" w:rsidP="008202F1">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47</w:t>
            </w:r>
          </w:p>
        </w:tc>
      </w:tr>
      <w:tr w:rsidR="00BE29D3" w:rsidRPr="009A2E70" w:rsidTr="00DB0419">
        <w:trPr>
          <w:trHeight w:val="315"/>
        </w:trPr>
        <w:tc>
          <w:tcPr>
            <w:tcW w:w="3860" w:type="pct"/>
            <w:shd w:val="clear" w:color="auto" w:fill="auto"/>
            <w:noWrap/>
            <w:vAlign w:val="center"/>
          </w:tcPr>
          <w:p w:rsidR="00BE29D3" w:rsidRPr="009A2E70" w:rsidRDefault="00BE29D3" w:rsidP="00BE29D3">
            <w:pPr>
              <w:spacing w:after="0" w:line="240" w:lineRule="auto"/>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Reduced/supervised access to Person</w:t>
            </w:r>
          </w:p>
        </w:tc>
        <w:tc>
          <w:tcPr>
            <w:tcW w:w="1140" w:type="pct"/>
            <w:shd w:val="clear" w:color="auto" w:fill="auto"/>
            <w:noWrap/>
            <w:vAlign w:val="center"/>
          </w:tcPr>
          <w:p w:rsidR="00BE29D3" w:rsidRDefault="00967D3E" w:rsidP="00BE29D3">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10</w:t>
            </w:r>
          </w:p>
        </w:tc>
      </w:tr>
      <w:tr w:rsidR="0090069D" w:rsidRPr="009A2E70" w:rsidTr="00DB0419">
        <w:trPr>
          <w:trHeight w:val="315"/>
        </w:trPr>
        <w:tc>
          <w:tcPr>
            <w:tcW w:w="3860" w:type="pct"/>
            <w:shd w:val="clear" w:color="auto" w:fill="auto"/>
            <w:noWrap/>
            <w:vAlign w:val="center"/>
          </w:tcPr>
          <w:p w:rsidR="0090069D" w:rsidRPr="009A2E70" w:rsidRDefault="00156EF4" w:rsidP="00156EF4">
            <w:pPr>
              <w:spacing w:after="0" w:line="240" w:lineRule="auto"/>
              <w:rPr>
                <w:rFonts w:ascii="Public Sans" w:eastAsia="Times New Roman" w:hAnsi="Public Sans" w:cs="Times New Roman"/>
                <w:color w:val="000000"/>
                <w:sz w:val="21"/>
                <w:szCs w:val="21"/>
                <w:lang w:eastAsia="en-AU"/>
              </w:rPr>
            </w:pPr>
            <w:r w:rsidRPr="009A2E70">
              <w:rPr>
                <w:rFonts w:ascii="Public Sans" w:eastAsia="Times New Roman" w:hAnsi="Public Sans" w:cs="Times New Roman"/>
                <w:color w:val="000000"/>
                <w:sz w:val="21"/>
                <w:szCs w:val="21"/>
                <w:lang w:eastAsia="en-AU"/>
              </w:rPr>
              <w:t>Prevented from access to Person</w:t>
            </w:r>
            <w:r>
              <w:rPr>
                <w:rFonts w:ascii="Public Sans" w:eastAsia="Times New Roman" w:hAnsi="Public Sans" w:cs="Times New Roman"/>
                <w:color w:val="000000"/>
                <w:sz w:val="21"/>
                <w:szCs w:val="21"/>
                <w:lang w:eastAsia="en-AU"/>
              </w:rPr>
              <w:t xml:space="preserve">  </w:t>
            </w:r>
          </w:p>
        </w:tc>
        <w:tc>
          <w:tcPr>
            <w:tcW w:w="1140" w:type="pct"/>
            <w:shd w:val="clear" w:color="auto" w:fill="auto"/>
            <w:noWrap/>
            <w:vAlign w:val="center"/>
          </w:tcPr>
          <w:p w:rsidR="0090069D" w:rsidRPr="009A2E70" w:rsidRDefault="00967D3E" w:rsidP="008202F1">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9</w:t>
            </w:r>
          </w:p>
        </w:tc>
      </w:tr>
      <w:tr w:rsidR="00967D3E" w:rsidRPr="009A2E70" w:rsidTr="00DB0419">
        <w:trPr>
          <w:trHeight w:val="315"/>
        </w:trPr>
        <w:tc>
          <w:tcPr>
            <w:tcW w:w="3860" w:type="pct"/>
            <w:shd w:val="clear" w:color="auto" w:fill="auto"/>
            <w:vAlign w:val="center"/>
          </w:tcPr>
          <w:p w:rsidR="00967D3E" w:rsidRDefault="00967D3E" w:rsidP="008202F1">
            <w:pPr>
              <w:spacing w:after="0" w:line="240" w:lineRule="auto"/>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ADVO put in place</w:t>
            </w:r>
          </w:p>
        </w:tc>
        <w:tc>
          <w:tcPr>
            <w:tcW w:w="1140" w:type="pct"/>
            <w:shd w:val="clear" w:color="auto" w:fill="auto"/>
            <w:noWrap/>
            <w:vAlign w:val="center"/>
          </w:tcPr>
          <w:p w:rsidR="00967D3E" w:rsidRDefault="00967D3E" w:rsidP="008202F1">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9</w:t>
            </w:r>
          </w:p>
        </w:tc>
      </w:tr>
      <w:tr w:rsidR="00BE29D3" w:rsidRPr="009A2E70" w:rsidTr="00DB0419">
        <w:trPr>
          <w:trHeight w:val="315"/>
        </w:trPr>
        <w:tc>
          <w:tcPr>
            <w:tcW w:w="3860" w:type="pct"/>
            <w:shd w:val="clear" w:color="auto" w:fill="auto"/>
            <w:vAlign w:val="center"/>
          </w:tcPr>
          <w:p w:rsidR="00BE29D3" w:rsidRPr="009A2E70" w:rsidRDefault="00967D3E" w:rsidP="008202F1">
            <w:pPr>
              <w:spacing w:after="0" w:line="240" w:lineRule="auto"/>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Removal as POA or EPOA</w:t>
            </w:r>
          </w:p>
        </w:tc>
        <w:tc>
          <w:tcPr>
            <w:tcW w:w="1140" w:type="pct"/>
            <w:shd w:val="clear" w:color="auto" w:fill="auto"/>
            <w:noWrap/>
            <w:vAlign w:val="center"/>
          </w:tcPr>
          <w:p w:rsidR="00BE29D3" w:rsidRDefault="00967D3E" w:rsidP="008202F1">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5</w:t>
            </w:r>
          </w:p>
        </w:tc>
      </w:tr>
      <w:tr w:rsidR="00BE29D3" w:rsidRPr="009A2E70" w:rsidTr="00DB0419">
        <w:trPr>
          <w:trHeight w:val="315"/>
        </w:trPr>
        <w:tc>
          <w:tcPr>
            <w:tcW w:w="3860" w:type="pct"/>
            <w:shd w:val="clear" w:color="auto" w:fill="auto"/>
            <w:vAlign w:val="center"/>
          </w:tcPr>
          <w:p w:rsidR="00BE29D3" w:rsidRPr="009A2E70" w:rsidRDefault="00967D3E" w:rsidP="008202F1">
            <w:pPr>
              <w:spacing w:after="0" w:line="240" w:lineRule="auto"/>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Removed from premises</w:t>
            </w:r>
          </w:p>
        </w:tc>
        <w:tc>
          <w:tcPr>
            <w:tcW w:w="1140" w:type="pct"/>
            <w:shd w:val="clear" w:color="auto" w:fill="auto"/>
            <w:noWrap/>
            <w:vAlign w:val="center"/>
          </w:tcPr>
          <w:p w:rsidR="00BE29D3" w:rsidRDefault="00967D3E" w:rsidP="008202F1">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5</w:t>
            </w:r>
          </w:p>
        </w:tc>
      </w:tr>
      <w:tr w:rsidR="00BE29D3" w:rsidRPr="009A2E70" w:rsidTr="00DB0419">
        <w:trPr>
          <w:trHeight w:val="315"/>
        </w:trPr>
        <w:tc>
          <w:tcPr>
            <w:tcW w:w="3860" w:type="pct"/>
            <w:shd w:val="clear" w:color="auto" w:fill="auto"/>
            <w:vAlign w:val="center"/>
          </w:tcPr>
          <w:p w:rsidR="00BE29D3" w:rsidRPr="009A2E70" w:rsidRDefault="00156EF4" w:rsidP="00BE29D3">
            <w:pPr>
              <w:spacing w:after="0" w:line="240" w:lineRule="auto"/>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Benefit removed</w:t>
            </w:r>
          </w:p>
        </w:tc>
        <w:tc>
          <w:tcPr>
            <w:tcW w:w="1140" w:type="pct"/>
            <w:shd w:val="clear" w:color="auto" w:fill="auto"/>
            <w:noWrap/>
            <w:vAlign w:val="center"/>
          </w:tcPr>
          <w:p w:rsidR="00BE29D3" w:rsidRPr="009A2E70" w:rsidRDefault="00967D3E" w:rsidP="00BE29D3">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3</w:t>
            </w:r>
          </w:p>
        </w:tc>
      </w:tr>
      <w:tr w:rsidR="00BE29D3" w:rsidRPr="009A2E70" w:rsidTr="00DB0419">
        <w:trPr>
          <w:trHeight w:val="315"/>
        </w:trPr>
        <w:tc>
          <w:tcPr>
            <w:tcW w:w="3860" w:type="pct"/>
            <w:shd w:val="clear" w:color="auto" w:fill="auto"/>
            <w:vAlign w:val="center"/>
          </w:tcPr>
          <w:p w:rsidR="00BE29D3" w:rsidRPr="009A2E70" w:rsidRDefault="00967D3E" w:rsidP="00BE29D3">
            <w:pPr>
              <w:spacing w:after="0" w:line="240" w:lineRule="auto"/>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Removal as NDIS nominee</w:t>
            </w:r>
          </w:p>
        </w:tc>
        <w:tc>
          <w:tcPr>
            <w:tcW w:w="1140" w:type="pct"/>
            <w:shd w:val="clear" w:color="auto" w:fill="auto"/>
            <w:noWrap/>
            <w:vAlign w:val="center"/>
          </w:tcPr>
          <w:p w:rsidR="00BE29D3" w:rsidRPr="009A2E70" w:rsidRDefault="00967D3E" w:rsidP="00BE29D3">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3</w:t>
            </w:r>
          </w:p>
        </w:tc>
      </w:tr>
      <w:tr w:rsidR="00967D3E" w:rsidRPr="009A2E70" w:rsidTr="00DB0419">
        <w:trPr>
          <w:trHeight w:val="315"/>
        </w:trPr>
        <w:tc>
          <w:tcPr>
            <w:tcW w:w="3860" w:type="pct"/>
            <w:shd w:val="clear" w:color="auto" w:fill="auto"/>
            <w:vAlign w:val="center"/>
          </w:tcPr>
          <w:p w:rsidR="00967D3E" w:rsidRDefault="00967D3E" w:rsidP="00BE29D3">
            <w:pPr>
              <w:spacing w:after="0" w:line="240" w:lineRule="auto"/>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Criminal charges</w:t>
            </w:r>
          </w:p>
        </w:tc>
        <w:tc>
          <w:tcPr>
            <w:tcW w:w="1140" w:type="pct"/>
            <w:shd w:val="clear" w:color="auto" w:fill="auto"/>
            <w:noWrap/>
            <w:vAlign w:val="center"/>
          </w:tcPr>
          <w:p w:rsidR="00967D3E" w:rsidRDefault="00967D3E" w:rsidP="00BE29D3">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3</w:t>
            </w:r>
          </w:p>
        </w:tc>
      </w:tr>
      <w:tr w:rsidR="00967D3E" w:rsidRPr="009A2E70" w:rsidTr="00DB0419">
        <w:trPr>
          <w:trHeight w:val="315"/>
        </w:trPr>
        <w:tc>
          <w:tcPr>
            <w:tcW w:w="3860" w:type="pct"/>
            <w:shd w:val="clear" w:color="auto" w:fill="auto"/>
            <w:vAlign w:val="center"/>
          </w:tcPr>
          <w:p w:rsidR="00967D3E" w:rsidRDefault="00967D3E" w:rsidP="00BE29D3">
            <w:pPr>
              <w:spacing w:after="0" w:line="240" w:lineRule="auto"/>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APVO put in place</w:t>
            </w:r>
          </w:p>
        </w:tc>
        <w:tc>
          <w:tcPr>
            <w:tcW w:w="1140" w:type="pct"/>
            <w:shd w:val="clear" w:color="auto" w:fill="auto"/>
            <w:noWrap/>
            <w:vAlign w:val="center"/>
          </w:tcPr>
          <w:p w:rsidR="00967D3E" w:rsidRDefault="00967D3E" w:rsidP="00BE29D3">
            <w:pPr>
              <w:spacing w:after="0" w:line="240" w:lineRule="auto"/>
              <w:jc w:val="right"/>
              <w:rPr>
                <w:rFonts w:ascii="Public Sans" w:eastAsia="Times New Roman" w:hAnsi="Public Sans" w:cs="Times New Roman"/>
                <w:color w:val="000000"/>
                <w:sz w:val="21"/>
                <w:szCs w:val="21"/>
                <w:lang w:eastAsia="en-AU"/>
              </w:rPr>
            </w:pPr>
            <w:r>
              <w:rPr>
                <w:rFonts w:ascii="Public Sans" w:eastAsia="Times New Roman" w:hAnsi="Public Sans" w:cs="Times New Roman"/>
                <w:color w:val="000000"/>
                <w:sz w:val="21"/>
                <w:szCs w:val="21"/>
                <w:lang w:eastAsia="en-AU"/>
              </w:rPr>
              <w:t>3</w:t>
            </w:r>
          </w:p>
        </w:tc>
      </w:tr>
    </w:tbl>
    <w:p w:rsidR="0090069D" w:rsidRPr="005576E4" w:rsidRDefault="0090069D" w:rsidP="0090069D">
      <w:pPr>
        <w:pStyle w:val="Body"/>
        <w:widowControl w:val="0"/>
        <w:spacing w:after="0" w:line="240" w:lineRule="auto"/>
        <w:rPr>
          <w:rFonts w:ascii="Public Sans" w:hAnsi="Public Sans" w:cs="Segoe UI"/>
        </w:rPr>
      </w:pPr>
    </w:p>
    <w:p w:rsidR="00954077" w:rsidRPr="005576E4" w:rsidRDefault="00954077" w:rsidP="0090069D">
      <w:pPr>
        <w:pStyle w:val="Body"/>
        <w:widowControl w:val="0"/>
        <w:spacing w:before="120" w:after="0" w:line="240" w:lineRule="auto"/>
        <w:rPr>
          <w:rFonts w:ascii="Public Sans" w:hAnsi="Public Sans" w:cs="Segoe UI"/>
        </w:rPr>
      </w:pPr>
    </w:p>
    <w:sectPr w:rsidR="00954077" w:rsidRPr="005576E4" w:rsidSect="00613AF2">
      <w:footerReference w:type="default" r:id="rId21"/>
      <w:headerReference w:type="first" r:id="rId22"/>
      <w:pgSz w:w="11906" w:h="16838"/>
      <w:pgMar w:top="1021" w:right="1134" w:bottom="794"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29A" w:rsidRDefault="0036129A" w:rsidP="00E403D8">
      <w:r>
        <w:separator/>
      </w:r>
    </w:p>
  </w:endnote>
  <w:endnote w:type="continuationSeparator" w:id="0">
    <w:p w:rsidR="0036129A" w:rsidRDefault="0036129A" w:rsidP="00E4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Helvetica">
    <w:panose1 w:val="020B0500000000000000"/>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428813"/>
      <w:docPartObj>
        <w:docPartGallery w:val="Page Numbers (Bottom of Page)"/>
        <w:docPartUnique/>
      </w:docPartObj>
    </w:sdtPr>
    <w:sdtEndPr>
      <w:rPr>
        <w:rFonts w:ascii="Public Sans" w:hAnsi="Public Sans"/>
        <w:noProof/>
        <w:sz w:val="20"/>
      </w:rPr>
    </w:sdtEndPr>
    <w:sdtContent>
      <w:p w:rsidR="0036129A" w:rsidRPr="00886D64" w:rsidRDefault="0036129A">
        <w:pPr>
          <w:pStyle w:val="Footer"/>
          <w:jc w:val="right"/>
          <w:rPr>
            <w:rFonts w:ascii="Public Sans" w:hAnsi="Public Sans"/>
            <w:sz w:val="20"/>
          </w:rPr>
        </w:pPr>
        <w:r w:rsidRPr="00886D64">
          <w:rPr>
            <w:rFonts w:ascii="Public Sans" w:hAnsi="Public Sans"/>
            <w:sz w:val="20"/>
          </w:rPr>
          <w:fldChar w:fldCharType="begin"/>
        </w:r>
        <w:r w:rsidRPr="00886D64">
          <w:rPr>
            <w:rFonts w:ascii="Public Sans" w:hAnsi="Public Sans"/>
            <w:sz w:val="20"/>
          </w:rPr>
          <w:instrText xml:space="preserve"> PAGE   \* MERGEFORMAT </w:instrText>
        </w:r>
        <w:r w:rsidRPr="00886D64">
          <w:rPr>
            <w:rFonts w:ascii="Public Sans" w:hAnsi="Public Sans"/>
            <w:sz w:val="20"/>
          </w:rPr>
          <w:fldChar w:fldCharType="separate"/>
        </w:r>
        <w:r w:rsidR="00BB744F">
          <w:rPr>
            <w:rFonts w:ascii="Public Sans" w:hAnsi="Public Sans"/>
            <w:noProof/>
            <w:sz w:val="20"/>
          </w:rPr>
          <w:t>4</w:t>
        </w:r>
        <w:r w:rsidRPr="00886D64">
          <w:rPr>
            <w:rFonts w:ascii="Public Sans" w:hAnsi="Public Sans"/>
            <w:noProof/>
            <w:sz w:val="20"/>
          </w:rPr>
          <w:fldChar w:fldCharType="end"/>
        </w:r>
      </w:p>
    </w:sdtContent>
  </w:sdt>
  <w:p w:rsidR="0036129A" w:rsidRDefault="00361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29A" w:rsidRDefault="0036129A" w:rsidP="00E403D8">
      <w:r>
        <w:separator/>
      </w:r>
    </w:p>
  </w:footnote>
  <w:footnote w:type="continuationSeparator" w:id="0">
    <w:p w:rsidR="0036129A" w:rsidRDefault="0036129A" w:rsidP="00E403D8">
      <w:r>
        <w:continuationSeparator/>
      </w:r>
    </w:p>
  </w:footnote>
  <w:footnote w:id="1">
    <w:p w:rsidR="0036129A" w:rsidRPr="009612C3" w:rsidRDefault="0036129A" w:rsidP="00E50CEF">
      <w:pPr>
        <w:pStyle w:val="FootnoteText"/>
        <w:spacing w:after="0" w:line="240" w:lineRule="auto"/>
        <w:rPr>
          <w:rFonts w:ascii="Public Sans" w:hAnsi="Public Sans"/>
          <w:sz w:val="18"/>
        </w:rPr>
      </w:pPr>
      <w:r w:rsidRPr="009612C3">
        <w:rPr>
          <w:rStyle w:val="FootnoteReference"/>
          <w:rFonts w:ascii="Public Sans" w:hAnsi="Public Sans"/>
          <w:sz w:val="18"/>
        </w:rPr>
        <w:footnoteRef/>
      </w:r>
      <w:r w:rsidRPr="009612C3">
        <w:rPr>
          <w:rFonts w:ascii="Public Sans" w:hAnsi="Public Sans"/>
          <w:sz w:val="18"/>
        </w:rPr>
        <w:t xml:space="preserve"> Adults aged 65 years and older, and Aboriginal and/or Torres Strait Islander adults aged 50 years and older</w:t>
      </w:r>
      <w:r>
        <w:rPr>
          <w:rFonts w:ascii="Public Sans" w:hAnsi="Public Sans"/>
          <w:sz w:val="18"/>
        </w:rPr>
        <w:t>.</w:t>
      </w:r>
    </w:p>
  </w:footnote>
  <w:footnote w:id="2">
    <w:p w:rsidR="0036129A" w:rsidRPr="009612C3" w:rsidRDefault="0036129A" w:rsidP="00E50CEF">
      <w:pPr>
        <w:pStyle w:val="FootnoteText"/>
        <w:spacing w:after="0" w:line="240" w:lineRule="auto"/>
      </w:pPr>
      <w:r w:rsidRPr="009612C3">
        <w:rPr>
          <w:rStyle w:val="FootnoteReference"/>
          <w:rFonts w:ascii="Public Sans" w:hAnsi="Public Sans"/>
          <w:sz w:val="18"/>
        </w:rPr>
        <w:footnoteRef/>
      </w:r>
      <w:r w:rsidRPr="009612C3">
        <w:rPr>
          <w:rFonts w:ascii="Public Sans" w:hAnsi="Public Sans"/>
          <w:sz w:val="18"/>
        </w:rPr>
        <w:t xml:space="preserve"> Adults aged 18 years and older with a disability as defined in the </w:t>
      </w:r>
      <w:r w:rsidRPr="009612C3">
        <w:rPr>
          <w:rFonts w:ascii="Public Sans" w:hAnsi="Public Sans"/>
          <w:i/>
          <w:sz w:val="18"/>
        </w:rPr>
        <w:t>Disability Inclusion Act 2014</w:t>
      </w:r>
      <w:r>
        <w:rPr>
          <w:rFonts w:ascii="Public Sans" w:hAnsi="Public Sans"/>
          <w:sz w:val="18"/>
        </w:rPr>
        <w:t>.</w:t>
      </w:r>
    </w:p>
  </w:footnote>
  <w:footnote w:id="3">
    <w:p w:rsidR="0036129A" w:rsidRPr="008264C8" w:rsidRDefault="0036129A" w:rsidP="008264C8">
      <w:pPr>
        <w:pStyle w:val="FootnoteText"/>
        <w:spacing w:after="0" w:line="240" w:lineRule="auto"/>
        <w:rPr>
          <w:rFonts w:ascii="Public Sans" w:hAnsi="Public Sans"/>
        </w:rPr>
      </w:pPr>
      <w:r w:rsidRPr="008264C8">
        <w:rPr>
          <w:rStyle w:val="FootnoteReference"/>
          <w:rFonts w:ascii="Public Sans" w:hAnsi="Public Sans"/>
          <w:sz w:val="18"/>
        </w:rPr>
        <w:footnoteRef/>
      </w:r>
      <w:r w:rsidRPr="008264C8">
        <w:rPr>
          <w:rFonts w:ascii="Public Sans" w:hAnsi="Public Sans"/>
          <w:sz w:val="18"/>
        </w:rPr>
        <w:t xml:space="preserve"> For the purposes of our analysis, </w:t>
      </w:r>
      <w:r>
        <w:rPr>
          <w:rFonts w:ascii="Public Sans" w:hAnsi="Public Sans"/>
          <w:sz w:val="18"/>
        </w:rPr>
        <w:t>‘</w:t>
      </w:r>
      <w:r w:rsidRPr="008264C8">
        <w:rPr>
          <w:rFonts w:ascii="Public Sans" w:hAnsi="Public Sans"/>
          <w:sz w:val="18"/>
        </w:rPr>
        <w:t>relatives</w:t>
      </w:r>
      <w:r>
        <w:rPr>
          <w:rFonts w:ascii="Public Sans" w:hAnsi="Public Sans"/>
          <w:sz w:val="18"/>
        </w:rPr>
        <w:t>’</w:t>
      </w:r>
      <w:r w:rsidRPr="008264C8">
        <w:rPr>
          <w:rFonts w:ascii="Public Sans" w:hAnsi="Public Sans"/>
          <w:sz w:val="18"/>
        </w:rPr>
        <w:t xml:space="preserve"> does not include </w:t>
      </w:r>
      <w:r>
        <w:rPr>
          <w:rFonts w:ascii="Public Sans" w:hAnsi="Public Sans"/>
          <w:sz w:val="18"/>
        </w:rPr>
        <w:t xml:space="preserve">the adult’s </w:t>
      </w:r>
      <w:r w:rsidRPr="008264C8">
        <w:rPr>
          <w:rFonts w:ascii="Public Sans" w:hAnsi="Public Sans"/>
          <w:sz w:val="18"/>
        </w:rPr>
        <w:t>spouse/partner or ex-spouse/partner</w:t>
      </w:r>
      <w:r>
        <w:rPr>
          <w:rFonts w:ascii="Public Sans" w:hAnsi="Public Sans"/>
          <w:sz w:val="18"/>
        </w:rPr>
        <w:t>.</w:t>
      </w:r>
    </w:p>
  </w:footnote>
  <w:footnote w:id="4">
    <w:p w:rsidR="0036129A" w:rsidRDefault="0036129A" w:rsidP="008264C8">
      <w:pPr>
        <w:pStyle w:val="FootnoteText"/>
        <w:spacing w:after="0" w:line="240" w:lineRule="auto"/>
      </w:pPr>
      <w:r>
        <w:rPr>
          <w:rStyle w:val="FootnoteReference"/>
        </w:rPr>
        <w:footnoteRef/>
      </w:r>
      <w:r>
        <w:t xml:space="preserve"> </w:t>
      </w:r>
      <w:r w:rsidRPr="008264C8">
        <w:rPr>
          <w:rFonts w:ascii="Public Sans" w:hAnsi="Public Sans"/>
          <w:sz w:val="18"/>
        </w:rPr>
        <w:t xml:space="preserve">For the purposes of our analysis, </w:t>
      </w:r>
      <w:r>
        <w:rPr>
          <w:rFonts w:ascii="Public Sans" w:hAnsi="Public Sans"/>
          <w:sz w:val="18"/>
        </w:rPr>
        <w:t>‘</w:t>
      </w:r>
      <w:r w:rsidRPr="008264C8">
        <w:rPr>
          <w:rFonts w:ascii="Public Sans" w:hAnsi="Public Sans"/>
          <w:sz w:val="18"/>
        </w:rPr>
        <w:t>relatives</w:t>
      </w:r>
      <w:r>
        <w:rPr>
          <w:rFonts w:ascii="Public Sans" w:hAnsi="Public Sans"/>
          <w:sz w:val="18"/>
        </w:rPr>
        <w:t>’</w:t>
      </w:r>
      <w:r w:rsidRPr="008264C8">
        <w:rPr>
          <w:rFonts w:ascii="Public Sans" w:hAnsi="Public Sans"/>
          <w:sz w:val="18"/>
        </w:rPr>
        <w:t xml:space="preserve"> does not include </w:t>
      </w:r>
      <w:r>
        <w:rPr>
          <w:rFonts w:ascii="Public Sans" w:hAnsi="Public Sans"/>
          <w:sz w:val="18"/>
        </w:rPr>
        <w:t xml:space="preserve">the adult’s </w:t>
      </w:r>
      <w:r w:rsidRPr="008264C8">
        <w:rPr>
          <w:rFonts w:ascii="Public Sans" w:hAnsi="Public Sans"/>
          <w:sz w:val="18"/>
        </w:rPr>
        <w:t>spouse/partner or ex-spouse/partner</w:t>
      </w:r>
      <w:r>
        <w:rPr>
          <w:rFonts w:ascii="Public Sans" w:hAnsi="Public Sans"/>
          <w:sz w:val="18"/>
        </w:rPr>
        <w:t>.</w:t>
      </w:r>
    </w:p>
  </w:footnote>
  <w:footnote w:id="5">
    <w:p w:rsidR="0036129A" w:rsidRPr="00771917" w:rsidRDefault="0036129A" w:rsidP="002F5F44">
      <w:pPr>
        <w:pStyle w:val="FootnoteText"/>
        <w:spacing w:after="0" w:line="240" w:lineRule="auto"/>
        <w:rPr>
          <w:rFonts w:ascii="Public Sans" w:hAnsi="Public Sans" w:cs="Segoe UI"/>
        </w:rPr>
      </w:pPr>
      <w:r w:rsidRPr="00771917">
        <w:rPr>
          <w:rStyle w:val="FootnoteReference"/>
          <w:rFonts w:ascii="Public Sans" w:hAnsi="Public Sans" w:cs="Segoe UI"/>
          <w:sz w:val="18"/>
        </w:rPr>
        <w:footnoteRef/>
      </w:r>
      <w:r w:rsidRPr="00771917">
        <w:rPr>
          <w:rFonts w:ascii="Public Sans" w:hAnsi="Public Sans" w:cs="Segoe UI"/>
          <w:sz w:val="18"/>
        </w:rPr>
        <w:t xml:space="preserve"> The data captures all matters in which that type of abuse has been reported; in the majority of matters, more than one type of abuse is reported. </w:t>
      </w:r>
    </w:p>
  </w:footnote>
  <w:footnote w:id="6">
    <w:p w:rsidR="0036129A" w:rsidRPr="00652B6E" w:rsidRDefault="0036129A" w:rsidP="002F5F44">
      <w:pPr>
        <w:pStyle w:val="FootnoteText"/>
        <w:spacing w:after="0" w:line="240" w:lineRule="auto"/>
        <w:rPr>
          <w:rFonts w:ascii="Public Sans" w:hAnsi="Public Sans" w:cs="Segoe UI"/>
        </w:rPr>
      </w:pPr>
      <w:r w:rsidRPr="00652B6E">
        <w:rPr>
          <w:rStyle w:val="FootnoteReference"/>
          <w:rFonts w:ascii="Public Sans" w:hAnsi="Public Sans" w:cs="Segoe UI"/>
          <w:sz w:val="18"/>
        </w:rPr>
        <w:footnoteRef/>
      </w:r>
      <w:r w:rsidRPr="00652B6E">
        <w:rPr>
          <w:rFonts w:ascii="Public Sans" w:hAnsi="Public Sans" w:cs="Segoe UI"/>
          <w:sz w:val="18"/>
        </w:rPr>
        <w:t xml:space="preserve"> The data captures all matters in which that type of abuse has been reported; in the majority of matters, more than one type of abuse is reported.   </w:t>
      </w:r>
    </w:p>
  </w:footnote>
  <w:footnote w:id="7">
    <w:p w:rsidR="0036129A" w:rsidRPr="004F49CC" w:rsidRDefault="0036129A" w:rsidP="0090069D">
      <w:pPr>
        <w:pStyle w:val="FootnoteText"/>
        <w:spacing w:after="0" w:line="240" w:lineRule="auto"/>
        <w:rPr>
          <w:rFonts w:ascii="Public Sans" w:hAnsi="Public Sans"/>
          <w:sz w:val="18"/>
        </w:rPr>
      </w:pPr>
      <w:r w:rsidRPr="004F49CC">
        <w:rPr>
          <w:rStyle w:val="FootnoteReference"/>
          <w:rFonts w:ascii="Public Sans" w:hAnsi="Public Sans"/>
          <w:sz w:val="18"/>
        </w:rPr>
        <w:footnoteRef/>
      </w:r>
      <w:r w:rsidRPr="004F49CC">
        <w:rPr>
          <w:rFonts w:ascii="Public Sans" w:hAnsi="Public Sans"/>
          <w:sz w:val="18"/>
        </w:rPr>
        <w:t xml:space="preserve"> There can be multiple outcomes for an individual.</w:t>
      </w:r>
    </w:p>
  </w:footnote>
  <w:footnote w:id="8">
    <w:p w:rsidR="0036129A" w:rsidRDefault="0036129A" w:rsidP="0090069D">
      <w:pPr>
        <w:pStyle w:val="FootnoteText"/>
        <w:spacing w:after="0" w:line="240" w:lineRule="auto"/>
      </w:pPr>
      <w:r w:rsidRPr="004F49CC">
        <w:rPr>
          <w:rStyle w:val="FootnoteReference"/>
          <w:rFonts w:ascii="Public Sans" w:hAnsi="Public Sans"/>
          <w:sz w:val="18"/>
        </w:rPr>
        <w:footnoteRef/>
      </w:r>
      <w:r w:rsidRPr="004F49CC">
        <w:rPr>
          <w:rFonts w:ascii="Public Sans" w:hAnsi="Public Sans"/>
          <w:sz w:val="18"/>
        </w:rPr>
        <w:t xml:space="preserve"> There can be multiple outcomes in relation to an individual.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9A" w:rsidRDefault="0036129A" w:rsidP="0076506B">
    <w:pPr>
      <w:pStyle w:val="Header"/>
    </w:pPr>
    <w:r>
      <w:rPr>
        <w:noProof/>
        <w:lang w:eastAsia="en-AU"/>
      </w:rPr>
      <w:drawing>
        <wp:anchor distT="0" distB="0" distL="114300" distR="114300" simplePos="0" relativeHeight="251659264" behindDoc="0" locked="1" layoutInCell="1" allowOverlap="1" wp14:anchorId="0F30370F" wp14:editId="47BCE6BB">
          <wp:simplePos x="0" y="0"/>
          <wp:positionH relativeFrom="page">
            <wp:posOffset>5715</wp:posOffset>
          </wp:positionH>
          <wp:positionV relativeFrom="page">
            <wp:posOffset>-11430</wp:posOffset>
          </wp:positionV>
          <wp:extent cx="7541895" cy="1292225"/>
          <wp:effectExtent l="0" t="0" r="1905" b="3175"/>
          <wp:wrapTopAndBottom/>
          <wp:docPr id="30" name="Picture 30" descr="Ageing and Disability Commission Logo | 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geing and Disability Commission Logo | 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7541895" cy="1292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2F46"/>
    <w:multiLevelType w:val="hybridMultilevel"/>
    <w:tmpl w:val="8EDCF86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3F488E"/>
    <w:multiLevelType w:val="hybridMultilevel"/>
    <w:tmpl w:val="1A84B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6D19E6"/>
    <w:multiLevelType w:val="hybridMultilevel"/>
    <w:tmpl w:val="13EA5F3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2E7345"/>
    <w:multiLevelType w:val="hybridMultilevel"/>
    <w:tmpl w:val="0FD4AF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A90A8D"/>
    <w:multiLevelType w:val="hybridMultilevel"/>
    <w:tmpl w:val="2CC8728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070C8A"/>
    <w:multiLevelType w:val="hybridMultilevel"/>
    <w:tmpl w:val="6CB4981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D70013C"/>
    <w:multiLevelType w:val="hybridMultilevel"/>
    <w:tmpl w:val="8120481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6A0785"/>
    <w:multiLevelType w:val="hybridMultilevel"/>
    <w:tmpl w:val="5254D8A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D80B8E"/>
    <w:multiLevelType w:val="hybridMultilevel"/>
    <w:tmpl w:val="E3A6F2C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543F90"/>
    <w:multiLevelType w:val="hybridMultilevel"/>
    <w:tmpl w:val="11E010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9269C8"/>
    <w:multiLevelType w:val="hybridMultilevel"/>
    <w:tmpl w:val="95DC9CC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F430C6"/>
    <w:multiLevelType w:val="hybridMultilevel"/>
    <w:tmpl w:val="CEE84CA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FA6141"/>
    <w:multiLevelType w:val="hybridMultilevel"/>
    <w:tmpl w:val="DC42584E"/>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2F5A4D3D"/>
    <w:multiLevelType w:val="hybridMultilevel"/>
    <w:tmpl w:val="EB9C3F8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5A5C17"/>
    <w:multiLevelType w:val="hybridMultilevel"/>
    <w:tmpl w:val="B8288B0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52895"/>
    <w:multiLevelType w:val="hybridMultilevel"/>
    <w:tmpl w:val="5D18EF8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54B1B"/>
    <w:multiLevelType w:val="hybridMultilevel"/>
    <w:tmpl w:val="66541D5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7F6A08"/>
    <w:multiLevelType w:val="hybridMultilevel"/>
    <w:tmpl w:val="F3DC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C171F8"/>
    <w:multiLevelType w:val="hybridMultilevel"/>
    <w:tmpl w:val="2FF66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5617D7"/>
    <w:multiLevelType w:val="hybridMultilevel"/>
    <w:tmpl w:val="7D22014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6530D8"/>
    <w:multiLevelType w:val="hybridMultilevel"/>
    <w:tmpl w:val="EF10DC32"/>
    <w:lvl w:ilvl="0" w:tplc="A4D89238">
      <w:start w:val="1"/>
      <w:numFmt w:val="lowerLetter"/>
      <w:lvlText w:val="%1)"/>
      <w:lvlJc w:val="left"/>
      <w:pPr>
        <w:ind w:left="806" w:hanging="360"/>
      </w:pPr>
      <w:rPr>
        <w:rFonts w:hint="default"/>
      </w:rPr>
    </w:lvl>
    <w:lvl w:ilvl="1" w:tplc="0C090019" w:tentative="1">
      <w:start w:val="1"/>
      <w:numFmt w:val="lowerLetter"/>
      <w:lvlText w:val="%2."/>
      <w:lvlJc w:val="left"/>
      <w:pPr>
        <w:ind w:left="1526" w:hanging="360"/>
      </w:pPr>
    </w:lvl>
    <w:lvl w:ilvl="2" w:tplc="0C09001B" w:tentative="1">
      <w:start w:val="1"/>
      <w:numFmt w:val="lowerRoman"/>
      <w:lvlText w:val="%3."/>
      <w:lvlJc w:val="right"/>
      <w:pPr>
        <w:ind w:left="2246" w:hanging="180"/>
      </w:pPr>
    </w:lvl>
    <w:lvl w:ilvl="3" w:tplc="0C09000F" w:tentative="1">
      <w:start w:val="1"/>
      <w:numFmt w:val="decimal"/>
      <w:lvlText w:val="%4."/>
      <w:lvlJc w:val="left"/>
      <w:pPr>
        <w:ind w:left="2966" w:hanging="360"/>
      </w:pPr>
    </w:lvl>
    <w:lvl w:ilvl="4" w:tplc="0C090019" w:tentative="1">
      <w:start w:val="1"/>
      <w:numFmt w:val="lowerLetter"/>
      <w:lvlText w:val="%5."/>
      <w:lvlJc w:val="left"/>
      <w:pPr>
        <w:ind w:left="3686" w:hanging="360"/>
      </w:pPr>
    </w:lvl>
    <w:lvl w:ilvl="5" w:tplc="0C09001B" w:tentative="1">
      <w:start w:val="1"/>
      <w:numFmt w:val="lowerRoman"/>
      <w:lvlText w:val="%6."/>
      <w:lvlJc w:val="right"/>
      <w:pPr>
        <w:ind w:left="4406" w:hanging="180"/>
      </w:pPr>
    </w:lvl>
    <w:lvl w:ilvl="6" w:tplc="0C09000F" w:tentative="1">
      <w:start w:val="1"/>
      <w:numFmt w:val="decimal"/>
      <w:lvlText w:val="%7."/>
      <w:lvlJc w:val="left"/>
      <w:pPr>
        <w:ind w:left="5126" w:hanging="360"/>
      </w:pPr>
    </w:lvl>
    <w:lvl w:ilvl="7" w:tplc="0C090019" w:tentative="1">
      <w:start w:val="1"/>
      <w:numFmt w:val="lowerLetter"/>
      <w:lvlText w:val="%8."/>
      <w:lvlJc w:val="left"/>
      <w:pPr>
        <w:ind w:left="5846" w:hanging="360"/>
      </w:pPr>
    </w:lvl>
    <w:lvl w:ilvl="8" w:tplc="0C09001B" w:tentative="1">
      <w:start w:val="1"/>
      <w:numFmt w:val="lowerRoman"/>
      <w:lvlText w:val="%9."/>
      <w:lvlJc w:val="right"/>
      <w:pPr>
        <w:ind w:left="6566" w:hanging="180"/>
      </w:pPr>
    </w:lvl>
  </w:abstractNum>
  <w:abstractNum w:abstractNumId="21" w15:restartNumberingAfterBreak="0">
    <w:nsid w:val="4A387836"/>
    <w:multiLevelType w:val="hybridMultilevel"/>
    <w:tmpl w:val="3934061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E5C56F6"/>
    <w:multiLevelType w:val="hybridMultilevel"/>
    <w:tmpl w:val="1C589C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04F2686"/>
    <w:multiLevelType w:val="hybridMultilevel"/>
    <w:tmpl w:val="55FE6C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5E0F6A"/>
    <w:multiLevelType w:val="hybridMultilevel"/>
    <w:tmpl w:val="49FCDB0E"/>
    <w:lvl w:ilvl="0" w:tplc="0C09000F">
      <w:start w:val="1"/>
      <w:numFmt w:val="decimal"/>
      <w:lvlText w:val="%1."/>
      <w:lvlJc w:val="left"/>
      <w:pPr>
        <w:ind w:left="220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B16DBE"/>
    <w:multiLevelType w:val="hybridMultilevel"/>
    <w:tmpl w:val="C302C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995B2D"/>
    <w:multiLevelType w:val="hybridMultilevel"/>
    <w:tmpl w:val="2EF6DA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ABB7445"/>
    <w:multiLevelType w:val="hybridMultilevel"/>
    <w:tmpl w:val="107807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30387C"/>
    <w:multiLevelType w:val="hybridMultilevel"/>
    <w:tmpl w:val="1618FEA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242F9D"/>
    <w:multiLevelType w:val="hybridMultilevel"/>
    <w:tmpl w:val="45F2A1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1730B7"/>
    <w:multiLevelType w:val="hybridMultilevel"/>
    <w:tmpl w:val="0770A4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DE715A"/>
    <w:multiLevelType w:val="hybridMultilevel"/>
    <w:tmpl w:val="948405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9F01B1"/>
    <w:multiLevelType w:val="hybridMultilevel"/>
    <w:tmpl w:val="7706C52C"/>
    <w:lvl w:ilvl="0" w:tplc="FC78411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FFC7097"/>
    <w:multiLevelType w:val="hybridMultilevel"/>
    <w:tmpl w:val="1CAC51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2A91C37"/>
    <w:multiLevelType w:val="multilevel"/>
    <w:tmpl w:val="B30EA9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39455B8"/>
    <w:multiLevelType w:val="hybridMultilevel"/>
    <w:tmpl w:val="8842DE40"/>
    <w:lvl w:ilvl="0" w:tplc="311A0470">
      <w:start w:val="1"/>
      <w:numFmt w:val="lowerLetter"/>
      <w:lvlText w:val="%1)"/>
      <w:lvlJc w:val="left"/>
      <w:pPr>
        <w:ind w:left="828"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6" w15:restartNumberingAfterBreak="0">
    <w:nsid w:val="79686F2C"/>
    <w:multiLevelType w:val="hybridMultilevel"/>
    <w:tmpl w:val="776CE09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A0603C6"/>
    <w:multiLevelType w:val="hybridMultilevel"/>
    <w:tmpl w:val="C5CA7B9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8" w15:restartNumberingAfterBreak="0">
    <w:nsid w:val="7A073DE3"/>
    <w:multiLevelType w:val="hybridMultilevel"/>
    <w:tmpl w:val="BAAA8E3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C076B01"/>
    <w:multiLevelType w:val="hybridMultilevel"/>
    <w:tmpl w:val="C51C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6D443F"/>
    <w:multiLevelType w:val="hybridMultilevel"/>
    <w:tmpl w:val="B3AAF0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DF90DE3"/>
    <w:multiLevelType w:val="hybridMultilevel"/>
    <w:tmpl w:val="B4BE4F6C"/>
    <w:lvl w:ilvl="0" w:tplc="B3DC6E9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9"/>
  </w:num>
  <w:num w:numId="2">
    <w:abstractNumId w:val="18"/>
  </w:num>
  <w:num w:numId="3">
    <w:abstractNumId w:val="25"/>
  </w:num>
  <w:num w:numId="4">
    <w:abstractNumId w:val="5"/>
  </w:num>
  <w:num w:numId="5">
    <w:abstractNumId w:val="33"/>
  </w:num>
  <w:num w:numId="6">
    <w:abstractNumId w:val="26"/>
  </w:num>
  <w:num w:numId="7">
    <w:abstractNumId w:val="1"/>
  </w:num>
  <w:num w:numId="8">
    <w:abstractNumId w:val="12"/>
  </w:num>
  <w:num w:numId="9">
    <w:abstractNumId w:val="40"/>
  </w:num>
  <w:num w:numId="10">
    <w:abstractNumId w:val="34"/>
  </w:num>
  <w:num w:numId="11">
    <w:abstractNumId w:val="0"/>
  </w:num>
  <w:num w:numId="12">
    <w:abstractNumId w:val="3"/>
  </w:num>
  <w:num w:numId="13">
    <w:abstractNumId w:val="24"/>
  </w:num>
  <w:num w:numId="14">
    <w:abstractNumId w:val="36"/>
  </w:num>
  <w:num w:numId="15">
    <w:abstractNumId w:val="8"/>
  </w:num>
  <w:num w:numId="16">
    <w:abstractNumId w:val="23"/>
  </w:num>
  <w:num w:numId="17">
    <w:abstractNumId w:val="38"/>
  </w:num>
  <w:num w:numId="18">
    <w:abstractNumId w:val="30"/>
  </w:num>
  <w:num w:numId="19">
    <w:abstractNumId w:val="17"/>
  </w:num>
  <w:num w:numId="20">
    <w:abstractNumId w:val="21"/>
  </w:num>
  <w:num w:numId="21">
    <w:abstractNumId w:val="7"/>
  </w:num>
  <w:num w:numId="22">
    <w:abstractNumId w:val="13"/>
  </w:num>
  <w:num w:numId="23">
    <w:abstractNumId w:val="6"/>
  </w:num>
  <w:num w:numId="24">
    <w:abstractNumId w:val="9"/>
  </w:num>
  <w:num w:numId="25">
    <w:abstractNumId w:val="16"/>
  </w:num>
  <w:num w:numId="26">
    <w:abstractNumId w:val="22"/>
  </w:num>
  <w:num w:numId="27">
    <w:abstractNumId w:val="10"/>
  </w:num>
  <w:num w:numId="28">
    <w:abstractNumId w:val="2"/>
  </w:num>
  <w:num w:numId="29">
    <w:abstractNumId w:val="14"/>
  </w:num>
  <w:num w:numId="30">
    <w:abstractNumId w:val="27"/>
  </w:num>
  <w:num w:numId="31">
    <w:abstractNumId w:val="32"/>
  </w:num>
  <w:num w:numId="32">
    <w:abstractNumId w:val="28"/>
  </w:num>
  <w:num w:numId="33">
    <w:abstractNumId w:val="15"/>
  </w:num>
  <w:num w:numId="34">
    <w:abstractNumId w:val="4"/>
  </w:num>
  <w:num w:numId="35">
    <w:abstractNumId w:val="11"/>
  </w:num>
  <w:num w:numId="36">
    <w:abstractNumId w:val="41"/>
  </w:num>
  <w:num w:numId="37">
    <w:abstractNumId w:val="29"/>
  </w:num>
  <w:num w:numId="38">
    <w:abstractNumId w:val="31"/>
  </w:num>
  <w:num w:numId="39">
    <w:abstractNumId w:val="37"/>
  </w:num>
  <w:num w:numId="40">
    <w:abstractNumId w:val="19"/>
  </w:num>
  <w:num w:numId="41">
    <w:abstractNumId w:val="20"/>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O8g8btFLrqHiDzHREdMrGt/V8gP8G71GgJxZEYe50Shq/vom4OhO9vsdX69WKwCbxLn8KqnYKLs+jgdikzFBeQ==" w:salt="NaW7pIAcq3zFZvTeGuaSBA=="/>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3D8"/>
    <w:rsid w:val="000003DC"/>
    <w:rsid w:val="00002503"/>
    <w:rsid w:val="00003E08"/>
    <w:rsid w:val="00004192"/>
    <w:rsid w:val="00007D2B"/>
    <w:rsid w:val="00013696"/>
    <w:rsid w:val="00014357"/>
    <w:rsid w:val="00016EA9"/>
    <w:rsid w:val="00032CEB"/>
    <w:rsid w:val="00033D8B"/>
    <w:rsid w:val="00035721"/>
    <w:rsid w:val="00037F4D"/>
    <w:rsid w:val="0004045F"/>
    <w:rsid w:val="000476AE"/>
    <w:rsid w:val="00051DE4"/>
    <w:rsid w:val="00053CC5"/>
    <w:rsid w:val="00054AD4"/>
    <w:rsid w:val="0005529D"/>
    <w:rsid w:val="00060919"/>
    <w:rsid w:val="00064857"/>
    <w:rsid w:val="00070B5C"/>
    <w:rsid w:val="00071E0E"/>
    <w:rsid w:val="00073B65"/>
    <w:rsid w:val="00075101"/>
    <w:rsid w:val="00076AB9"/>
    <w:rsid w:val="00076AC7"/>
    <w:rsid w:val="00077192"/>
    <w:rsid w:val="000774BA"/>
    <w:rsid w:val="00081556"/>
    <w:rsid w:val="0009043E"/>
    <w:rsid w:val="00091DD2"/>
    <w:rsid w:val="00093702"/>
    <w:rsid w:val="00093E98"/>
    <w:rsid w:val="000A0DF1"/>
    <w:rsid w:val="000A2F1A"/>
    <w:rsid w:val="000A3596"/>
    <w:rsid w:val="000A67FE"/>
    <w:rsid w:val="000A7AF8"/>
    <w:rsid w:val="000B3A6C"/>
    <w:rsid w:val="000B3EB5"/>
    <w:rsid w:val="000B44DA"/>
    <w:rsid w:val="000B5089"/>
    <w:rsid w:val="000B548E"/>
    <w:rsid w:val="000C04B1"/>
    <w:rsid w:val="000C1B79"/>
    <w:rsid w:val="000C33EC"/>
    <w:rsid w:val="000C3AE5"/>
    <w:rsid w:val="000C528D"/>
    <w:rsid w:val="000C6A2C"/>
    <w:rsid w:val="000C6FE0"/>
    <w:rsid w:val="000D0814"/>
    <w:rsid w:val="000D1820"/>
    <w:rsid w:val="000D6D39"/>
    <w:rsid w:val="000E0B6A"/>
    <w:rsid w:val="000E106C"/>
    <w:rsid w:val="000E2FD4"/>
    <w:rsid w:val="000E3DCE"/>
    <w:rsid w:val="000E6C6A"/>
    <w:rsid w:val="000F0A8B"/>
    <w:rsid w:val="000F3677"/>
    <w:rsid w:val="000F5954"/>
    <w:rsid w:val="000F63DC"/>
    <w:rsid w:val="001008E3"/>
    <w:rsid w:val="00100CE9"/>
    <w:rsid w:val="00101B61"/>
    <w:rsid w:val="00104A3D"/>
    <w:rsid w:val="00105663"/>
    <w:rsid w:val="00105A19"/>
    <w:rsid w:val="0010665B"/>
    <w:rsid w:val="00115243"/>
    <w:rsid w:val="00120E8C"/>
    <w:rsid w:val="0012564E"/>
    <w:rsid w:val="00126291"/>
    <w:rsid w:val="00126875"/>
    <w:rsid w:val="00126A19"/>
    <w:rsid w:val="00130A33"/>
    <w:rsid w:val="00130BAD"/>
    <w:rsid w:val="00132CCF"/>
    <w:rsid w:val="001342F4"/>
    <w:rsid w:val="001359EE"/>
    <w:rsid w:val="001402AD"/>
    <w:rsid w:val="00142C96"/>
    <w:rsid w:val="00143537"/>
    <w:rsid w:val="0014378A"/>
    <w:rsid w:val="00144CC1"/>
    <w:rsid w:val="0014515E"/>
    <w:rsid w:val="00146BA6"/>
    <w:rsid w:val="00152023"/>
    <w:rsid w:val="00153D12"/>
    <w:rsid w:val="00154BFA"/>
    <w:rsid w:val="001555A4"/>
    <w:rsid w:val="00156EF4"/>
    <w:rsid w:val="001609A4"/>
    <w:rsid w:val="0016418C"/>
    <w:rsid w:val="001641FE"/>
    <w:rsid w:val="001664D4"/>
    <w:rsid w:val="00171EED"/>
    <w:rsid w:val="0017219D"/>
    <w:rsid w:val="00177203"/>
    <w:rsid w:val="0018360E"/>
    <w:rsid w:val="00184644"/>
    <w:rsid w:val="001A1431"/>
    <w:rsid w:val="001A2311"/>
    <w:rsid w:val="001A5FB2"/>
    <w:rsid w:val="001A6FB2"/>
    <w:rsid w:val="001B0504"/>
    <w:rsid w:val="001B1AAB"/>
    <w:rsid w:val="001B1CC3"/>
    <w:rsid w:val="001B2A61"/>
    <w:rsid w:val="001B35AA"/>
    <w:rsid w:val="001B37C3"/>
    <w:rsid w:val="001B461D"/>
    <w:rsid w:val="001B71FD"/>
    <w:rsid w:val="001C00A8"/>
    <w:rsid w:val="001C1067"/>
    <w:rsid w:val="001C1CBA"/>
    <w:rsid w:val="001C2806"/>
    <w:rsid w:val="001C3F32"/>
    <w:rsid w:val="001E1198"/>
    <w:rsid w:val="001E360D"/>
    <w:rsid w:val="001E4675"/>
    <w:rsid w:val="001F3FBA"/>
    <w:rsid w:val="001F5577"/>
    <w:rsid w:val="002020F2"/>
    <w:rsid w:val="00202F21"/>
    <w:rsid w:val="00204090"/>
    <w:rsid w:val="002064A5"/>
    <w:rsid w:val="00207343"/>
    <w:rsid w:val="00211A58"/>
    <w:rsid w:val="00214713"/>
    <w:rsid w:val="002167CF"/>
    <w:rsid w:val="00222CA6"/>
    <w:rsid w:val="00223CE4"/>
    <w:rsid w:val="002255D9"/>
    <w:rsid w:val="00225FDE"/>
    <w:rsid w:val="002262AE"/>
    <w:rsid w:val="002272E4"/>
    <w:rsid w:val="002279EB"/>
    <w:rsid w:val="00227EF7"/>
    <w:rsid w:val="00230D97"/>
    <w:rsid w:val="0023234E"/>
    <w:rsid w:val="002325C7"/>
    <w:rsid w:val="00234D13"/>
    <w:rsid w:val="002401C5"/>
    <w:rsid w:val="00242E99"/>
    <w:rsid w:val="0024622C"/>
    <w:rsid w:val="00247D27"/>
    <w:rsid w:val="002504DB"/>
    <w:rsid w:val="00253901"/>
    <w:rsid w:val="00255082"/>
    <w:rsid w:val="00257A2C"/>
    <w:rsid w:val="00262978"/>
    <w:rsid w:val="0027009A"/>
    <w:rsid w:val="00270EC6"/>
    <w:rsid w:val="00272E3A"/>
    <w:rsid w:val="002807B8"/>
    <w:rsid w:val="002807BC"/>
    <w:rsid w:val="002819F5"/>
    <w:rsid w:val="00285524"/>
    <w:rsid w:val="002930FB"/>
    <w:rsid w:val="002948C7"/>
    <w:rsid w:val="002A0313"/>
    <w:rsid w:val="002A175E"/>
    <w:rsid w:val="002A2F86"/>
    <w:rsid w:val="002A564E"/>
    <w:rsid w:val="002B1F03"/>
    <w:rsid w:val="002B3CAD"/>
    <w:rsid w:val="002B51BE"/>
    <w:rsid w:val="002B6964"/>
    <w:rsid w:val="002B7411"/>
    <w:rsid w:val="002C1CA1"/>
    <w:rsid w:val="002C200C"/>
    <w:rsid w:val="002C58E5"/>
    <w:rsid w:val="002D2AAE"/>
    <w:rsid w:val="002D3562"/>
    <w:rsid w:val="002E0A72"/>
    <w:rsid w:val="002E289F"/>
    <w:rsid w:val="002E2D53"/>
    <w:rsid w:val="002F32BA"/>
    <w:rsid w:val="002F5F44"/>
    <w:rsid w:val="002F7582"/>
    <w:rsid w:val="003039ED"/>
    <w:rsid w:val="003047E0"/>
    <w:rsid w:val="003066AE"/>
    <w:rsid w:val="00306750"/>
    <w:rsid w:val="0031233C"/>
    <w:rsid w:val="003141C6"/>
    <w:rsid w:val="00316B88"/>
    <w:rsid w:val="00317399"/>
    <w:rsid w:val="00320494"/>
    <w:rsid w:val="00330CB4"/>
    <w:rsid w:val="00331185"/>
    <w:rsid w:val="00336B02"/>
    <w:rsid w:val="00340F74"/>
    <w:rsid w:val="00341203"/>
    <w:rsid w:val="00344286"/>
    <w:rsid w:val="00345E6E"/>
    <w:rsid w:val="00351D6C"/>
    <w:rsid w:val="003549E4"/>
    <w:rsid w:val="0035769A"/>
    <w:rsid w:val="0036129A"/>
    <w:rsid w:val="00362726"/>
    <w:rsid w:val="003643D3"/>
    <w:rsid w:val="00370CA4"/>
    <w:rsid w:val="00370E0A"/>
    <w:rsid w:val="00374A98"/>
    <w:rsid w:val="003810A5"/>
    <w:rsid w:val="0038368E"/>
    <w:rsid w:val="00383FF6"/>
    <w:rsid w:val="003847E0"/>
    <w:rsid w:val="00387722"/>
    <w:rsid w:val="00391216"/>
    <w:rsid w:val="003924AC"/>
    <w:rsid w:val="00394B79"/>
    <w:rsid w:val="0039583C"/>
    <w:rsid w:val="00395A8A"/>
    <w:rsid w:val="0039637D"/>
    <w:rsid w:val="00396C1A"/>
    <w:rsid w:val="003A1187"/>
    <w:rsid w:val="003A2012"/>
    <w:rsid w:val="003A2E78"/>
    <w:rsid w:val="003A3345"/>
    <w:rsid w:val="003A3933"/>
    <w:rsid w:val="003A3F19"/>
    <w:rsid w:val="003A6EBC"/>
    <w:rsid w:val="003B2319"/>
    <w:rsid w:val="003B64C2"/>
    <w:rsid w:val="003B6C60"/>
    <w:rsid w:val="003C531F"/>
    <w:rsid w:val="003C5529"/>
    <w:rsid w:val="003C641B"/>
    <w:rsid w:val="003C7CEC"/>
    <w:rsid w:val="003D02E4"/>
    <w:rsid w:val="003D043A"/>
    <w:rsid w:val="003D0614"/>
    <w:rsid w:val="003D0AF3"/>
    <w:rsid w:val="003D12AF"/>
    <w:rsid w:val="003D1E13"/>
    <w:rsid w:val="003D1F72"/>
    <w:rsid w:val="003D2C2F"/>
    <w:rsid w:val="003D5C8E"/>
    <w:rsid w:val="003D7325"/>
    <w:rsid w:val="003E3EEB"/>
    <w:rsid w:val="003E57B9"/>
    <w:rsid w:val="003F53DD"/>
    <w:rsid w:val="003F5D66"/>
    <w:rsid w:val="003F6016"/>
    <w:rsid w:val="00400B44"/>
    <w:rsid w:val="004067AE"/>
    <w:rsid w:val="00410E3F"/>
    <w:rsid w:val="00412D93"/>
    <w:rsid w:val="00414CD1"/>
    <w:rsid w:val="00420D09"/>
    <w:rsid w:val="00421E37"/>
    <w:rsid w:val="00421F21"/>
    <w:rsid w:val="0043120A"/>
    <w:rsid w:val="00432C6A"/>
    <w:rsid w:val="004338B1"/>
    <w:rsid w:val="00440623"/>
    <w:rsid w:val="00446027"/>
    <w:rsid w:val="0045359B"/>
    <w:rsid w:val="0045441D"/>
    <w:rsid w:val="00455062"/>
    <w:rsid w:val="00463D6D"/>
    <w:rsid w:val="004661B7"/>
    <w:rsid w:val="00476881"/>
    <w:rsid w:val="00482283"/>
    <w:rsid w:val="0048260A"/>
    <w:rsid w:val="00482684"/>
    <w:rsid w:val="00491635"/>
    <w:rsid w:val="0049428C"/>
    <w:rsid w:val="004953B3"/>
    <w:rsid w:val="004A36AB"/>
    <w:rsid w:val="004A4159"/>
    <w:rsid w:val="004A4FD0"/>
    <w:rsid w:val="004B13B5"/>
    <w:rsid w:val="004B3971"/>
    <w:rsid w:val="004B5BC7"/>
    <w:rsid w:val="004B6977"/>
    <w:rsid w:val="004B77EA"/>
    <w:rsid w:val="004C4AAA"/>
    <w:rsid w:val="004D4569"/>
    <w:rsid w:val="004D600A"/>
    <w:rsid w:val="004D68DC"/>
    <w:rsid w:val="004E332F"/>
    <w:rsid w:val="004E7BF1"/>
    <w:rsid w:val="004F49CC"/>
    <w:rsid w:val="0050048A"/>
    <w:rsid w:val="00502500"/>
    <w:rsid w:val="00502FDA"/>
    <w:rsid w:val="005036C5"/>
    <w:rsid w:val="005064BD"/>
    <w:rsid w:val="00507E27"/>
    <w:rsid w:val="005114EA"/>
    <w:rsid w:val="005153AF"/>
    <w:rsid w:val="0051613C"/>
    <w:rsid w:val="005211F0"/>
    <w:rsid w:val="005214D2"/>
    <w:rsid w:val="00522B10"/>
    <w:rsid w:val="00523A36"/>
    <w:rsid w:val="0052546B"/>
    <w:rsid w:val="00535CDD"/>
    <w:rsid w:val="005361C8"/>
    <w:rsid w:val="00537A2D"/>
    <w:rsid w:val="0054553A"/>
    <w:rsid w:val="00545A80"/>
    <w:rsid w:val="0054619B"/>
    <w:rsid w:val="005462A9"/>
    <w:rsid w:val="005506FC"/>
    <w:rsid w:val="00555313"/>
    <w:rsid w:val="005558B6"/>
    <w:rsid w:val="005576E4"/>
    <w:rsid w:val="0056780C"/>
    <w:rsid w:val="005709DE"/>
    <w:rsid w:val="00571A83"/>
    <w:rsid w:val="00571D1C"/>
    <w:rsid w:val="005729BD"/>
    <w:rsid w:val="00573A7C"/>
    <w:rsid w:val="00575F73"/>
    <w:rsid w:val="00576B62"/>
    <w:rsid w:val="00584B4E"/>
    <w:rsid w:val="00584DA4"/>
    <w:rsid w:val="00595F8F"/>
    <w:rsid w:val="005962CF"/>
    <w:rsid w:val="005A1391"/>
    <w:rsid w:val="005A15C5"/>
    <w:rsid w:val="005A1EB2"/>
    <w:rsid w:val="005B0937"/>
    <w:rsid w:val="005B09CE"/>
    <w:rsid w:val="005B2CA1"/>
    <w:rsid w:val="005B2E72"/>
    <w:rsid w:val="005B7FAE"/>
    <w:rsid w:val="005C0C0B"/>
    <w:rsid w:val="005C74A7"/>
    <w:rsid w:val="005D0C70"/>
    <w:rsid w:val="005D1C39"/>
    <w:rsid w:val="005D4657"/>
    <w:rsid w:val="005D4ABC"/>
    <w:rsid w:val="005D6C1F"/>
    <w:rsid w:val="005E0384"/>
    <w:rsid w:val="005E1F34"/>
    <w:rsid w:val="005E2AA6"/>
    <w:rsid w:val="005E4E3C"/>
    <w:rsid w:val="005E5CC8"/>
    <w:rsid w:val="005E6A87"/>
    <w:rsid w:val="005E7202"/>
    <w:rsid w:val="005F4FE8"/>
    <w:rsid w:val="005F6B95"/>
    <w:rsid w:val="006019FE"/>
    <w:rsid w:val="006048FF"/>
    <w:rsid w:val="00606132"/>
    <w:rsid w:val="006075AC"/>
    <w:rsid w:val="00610878"/>
    <w:rsid w:val="006109BC"/>
    <w:rsid w:val="006129C5"/>
    <w:rsid w:val="006135A6"/>
    <w:rsid w:val="00613AF2"/>
    <w:rsid w:val="00613BBE"/>
    <w:rsid w:val="00616202"/>
    <w:rsid w:val="00617219"/>
    <w:rsid w:val="00620D1C"/>
    <w:rsid w:val="00620DDC"/>
    <w:rsid w:val="00621569"/>
    <w:rsid w:val="00630D17"/>
    <w:rsid w:val="00631A3A"/>
    <w:rsid w:val="006357D1"/>
    <w:rsid w:val="00642E1A"/>
    <w:rsid w:val="0064341B"/>
    <w:rsid w:val="00643D24"/>
    <w:rsid w:val="00644E3D"/>
    <w:rsid w:val="006459CE"/>
    <w:rsid w:val="006478FC"/>
    <w:rsid w:val="00650CBA"/>
    <w:rsid w:val="00652B6E"/>
    <w:rsid w:val="00652F7C"/>
    <w:rsid w:val="0065477F"/>
    <w:rsid w:val="00655F22"/>
    <w:rsid w:val="00656C29"/>
    <w:rsid w:val="00656E54"/>
    <w:rsid w:val="00662517"/>
    <w:rsid w:val="0066276A"/>
    <w:rsid w:val="0066419B"/>
    <w:rsid w:val="0066456C"/>
    <w:rsid w:val="006652CB"/>
    <w:rsid w:val="006715A5"/>
    <w:rsid w:val="00672B16"/>
    <w:rsid w:val="00672B94"/>
    <w:rsid w:val="006739D2"/>
    <w:rsid w:val="0067473E"/>
    <w:rsid w:val="0067487A"/>
    <w:rsid w:val="006756EA"/>
    <w:rsid w:val="0067723C"/>
    <w:rsid w:val="006816DF"/>
    <w:rsid w:val="006853E7"/>
    <w:rsid w:val="00685BF9"/>
    <w:rsid w:val="006929C2"/>
    <w:rsid w:val="006935AE"/>
    <w:rsid w:val="00696F28"/>
    <w:rsid w:val="006A377B"/>
    <w:rsid w:val="006A6FDC"/>
    <w:rsid w:val="006B0F2A"/>
    <w:rsid w:val="006B15BD"/>
    <w:rsid w:val="006B182B"/>
    <w:rsid w:val="006B447F"/>
    <w:rsid w:val="006B5165"/>
    <w:rsid w:val="006B6D30"/>
    <w:rsid w:val="006C15AD"/>
    <w:rsid w:val="006C3D79"/>
    <w:rsid w:val="006C3E4E"/>
    <w:rsid w:val="006C716F"/>
    <w:rsid w:val="006C7F4C"/>
    <w:rsid w:val="006D638C"/>
    <w:rsid w:val="006E028C"/>
    <w:rsid w:val="006E0FA6"/>
    <w:rsid w:val="006E0FAB"/>
    <w:rsid w:val="006E301E"/>
    <w:rsid w:val="006F5FA5"/>
    <w:rsid w:val="006F6066"/>
    <w:rsid w:val="006F6F8B"/>
    <w:rsid w:val="00707AF4"/>
    <w:rsid w:val="00710738"/>
    <w:rsid w:val="00711A93"/>
    <w:rsid w:val="00716C45"/>
    <w:rsid w:val="00722541"/>
    <w:rsid w:val="007241E1"/>
    <w:rsid w:val="00730028"/>
    <w:rsid w:val="00730139"/>
    <w:rsid w:val="007319BA"/>
    <w:rsid w:val="007342E8"/>
    <w:rsid w:val="0073669A"/>
    <w:rsid w:val="00740C94"/>
    <w:rsid w:val="00740E41"/>
    <w:rsid w:val="00740F07"/>
    <w:rsid w:val="00741923"/>
    <w:rsid w:val="00742DD9"/>
    <w:rsid w:val="00747AE4"/>
    <w:rsid w:val="00753514"/>
    <w:rsid w:val="00757506"/>
    <w:rsid w:val="007601AC"/>
    <w:rsid w:val="0076068C"/>
    <w:rsid w:val="007631E4"/>
    <w:rsid w:val="0076506B"/>
    <w:rsid w:val="00765E1B"/>
    <w:rsid w:val="00766409"/>
    <w:rsid w:val="00767B8F"/>
    <w:rsid w:val="00771917"/>
    <w:rsid w:val="0077251B"/>
    <w:rsid w:val="007770FB"/>
    <w:rsid w:val="007814B0"/>
    <w:rsid w:val="007851A8"/>
    <w:rsid w:val="00790BD3"/>
    <w:rsid w:val="00791885"/>
    <w:rsid w:val="007956DC"/>
    <w:rsid w:val="007A0599"/>
    <w:rsid w:val="007A0F04"/>
    <w:rsid w:val="007A2402"/>
    <w:rsid w:val="007A350D"/>
    <w:rsid w:val="007A38C5"/>
    <w:rsid w:val="007A4BC6"/>
    <w:rsid w:val="007B2057"/>
    <w:rsid w:val="007B2324"/>
    <w:rsid w:val="007B744A"/>
    <w:rsid w:val="007B756D"/>
    <w:rsid w:val="007C35E0"/>
    <w:rsid w:val="007C41B6"/>
    <w:rsid w:val="007C4F6E"/>
    <w:rsid w:val="007C53F4"/>
    <w:rsid w:val="007D131C"/>
    <w:rsid w:val="007D19E4"/>
    <w:rsid w:val="007D2CF6"/>
    <w:rsid w:val="007D4C6A"/>
    <w:rsid w:val="007D6AE2"/>
    <w:rsid w:val="007E229D"/>
    <w:rsid w:val="007E5699"/>
    <w:rsid w:val="007E5C28"/>
    <w:rsid w:val="007E6CEF"/>
    <w:rsid w:val="007F2465"/>
    <w:rsid w:val="007F36DE"/>
    <w:rsid w:val="007F41BF"/>
    <w:rsid w:val="007F6794"/>
    <w:rsid w:val="008014CA"/>
    <w:rsid w:val="00801BB6"/>
    <w:rsid w:val="00801D7B"/>
    <w:rsid w:val="0080207F"/>
    <w:rsid w:val="00803939"/>
    <w:rsid w:val="008039BC"/>
    <w:rsid w:val="00805EE1"/>
    <w:rsid w:val="00806F31"/>
    <w:rsid w:val="008103C1"/>
    <w:rsid w:val="00812ECE"/>
    <w:rsid w:val="008146DE"/>
    <w:rsid w:val="008202F1"/>
    <w:rsid w:val="00823835"/>
    <w:rsid w:val="008264C8"/>
    <w:rsid w:val="0082703B"/>
    <w:rsid w:val="00836808"/>
    <w:rsid w:val="00837987"/>
    <w:rsid w:val="0084023B"/>
    <w:rsid w:val="0084215E"/>
    <w:rsid w:val="00842998"/>
    <w:rsid w:val="00844B86"/>
    <w:rsid w:val="00846E2E"/>
    <w:rsid w:val="00850987"/>
    <w:rsid w:val="00850D76"/>
    <w:rsid w:val="00856B23"/>
    <w:rsid w:val="008646E5"/>
    <w:rsid w:val="00866DEC"/>
    <w:rsid w:val="008674F6"/>
    <w:rsid w:val="008704F0"/>
    <w:rsid w:val="00876C23"/>
    <w:rsid w:val="008816F3"/>
    <w:rsid w:val="00886D64"/>
    <w:rsid w:val="008870A6"/>
    <w:rsid w:val="00890BC3"/>
    <w:rsid w:val="00892066"/>
    <w:rsid w:val="00896D08"/>
    <w:rsid w:val="008A3F1F"/>
    <w:rsid w:val="008A4A3B"/>
    <w:rsid w:val="008A614A"/>
    <w:rsid w:val="008A693B"/>
    <w:rsid w:val="008A77A6"/>
    <w:rsid w:val="008B2E77"/>
    <w:rsid w:val="008B526E"/>
    <w:rsid w:val="008D1B90"/>
    <w:rsid w:val="008D2740"/>
    <w:rsid w:val="008D2EF8"/>
    <w:rsid w:val="008D471D"/>
    <w:rsid w:val="008D5B25"/>
    <w:rsid w:val="008D6B07"/>
    <w:rsid w:val="008E290B"/>
    <w:rsid w:val="008E3810"/>
    <w:rsid w:val="008E75E9"/>
    <w:rsid w:val="008F3A10"/>
    <w:rsid w:val="008F753F"/>
    <w:rsid w:val="0090069D"/>
    <w:rsid w:val="00900A4A"/>
    <w:rsid w:val="00902154"/>
    <w:rsid w:val="00904AE1"/>
    <w:rsid w:val="00904EAF"/>
    <w:rsid w:val="009060B7"/>
    <w:rsid w:val="00911E6B"/>
    <w:rsid w:val="009126C8"/>
    <w:rsid w:val="0091412D"/>
    <w:rsid w:val="00927B4D"/>
    <w:rsid w:val="009310BC"/>
    <w:rsid w:val="00931644"/>
    <w:rsid w:val="0093282B"/>
    <w:rsid w:val="00936332"/>
    <w:rsid w:val="00937C32"/>
    <w:rsid w:val="009419C5"/>
    <w:rsid w:val="00942AF7"/>
    <w:rsid w:val="009431E0"/>
    <w:rsid w:val="00944672"/>
    <w:rsid w:val="009474D2"/>
    <w:rsid w:val="00954077"/>
    <w:rsid w:val="009612C3"/>
    <w:rsid w:val="00962009"/>
    <w:rsid w:val="009624D7"/>
    <w:rsid w:val="00967036"/>
    <w:rsid w:val="00967069"/>
    <w:rsid w:val="00967D3E"/>
    <w:rsid w:val="009721C6"/>
    <w:rsid w:val="00972A73"/>
    <w:rsid w:val="00973D87"/>
    <w:rsid w:val="00981CC8"/>
    <w:rsid w:val="00982992"/>
    <w:rsid w:val="00983BDF"/>
    <w:rsid w:val="00983CC4"/>
    <w:rsid w:val="009905B5"/>
    <w:rsid w:val="00990C36"/>
    <w:rsid w:val="00991047"/>
    <w:rsid w:val="00992BFF"/>
    <w:rsid w:val="00992DE2"/>
    <w:rsid w:val="0099414C"/>
    <w:rsid w:val="0099621D"/>
    <w:rsid w:val="009A2E70"/>
    <w:rsid w:val="009B2EEB"/>
    <w:rsid w:val="009B4986"/>
    <w:rsid w:val="009B6499"/>
    <w:rsid w:val="009C2613"/>
    <w:rsid w:val="009C4778"/>
    <w:rsid w:val="009C70B0"/>
    <w:rsid w:val="009D1157"/>
    <w:rsid w:val="009D24AE"/>
    <w:rsid w:val="009D2B38"/>
    <w:rsid w:val="009D5312"/>
    <w:rsid w:val="009E47E0"/>
    <w:rsid w:val="009F035E"/>
    <w:rsid w:val="009F0F6A"/>
    <w:rsid w:val="009F1E6B"/>
    <w:rsid w:val="009F5333"/>
    <w:rsid w:val="00A00CCC"/>
    <w:rsid w:val="00A05113"/>
    <w:rsid w:val="00A13170"/>
    <w:rsid w:val="00A16984"/>
    <w:rsid w:val="00A17B3D"/>
    <w:rsid w:val="00A277FF"/>
    <w:rsid w:val="00A36150"/>
    <w:rsid w:val="00A37C7C"/>
    <w:rsid w:val="00A40635"/>
    <w:rsid w:val="00A40B34"/>
    <w:rsid w:val="00A45529"/>
    <w:rsid w:val="00A514ED"/>
    <w:rsid w:val="00A51B02"/>
    <w:rsid w:val="00A53199"/>
    <w:rsid w:val="00A559B2"/>
    <w:rsid w:val="00A564FB"/>
    <w:rsid w:val="00A63C78"/>
    <w:rsid w:val="00A6415F"/>
    <w:rsid w:val="00A64F89"/>
    <w:rsid w:val="00A65179"/>
    <w:rsid w:val="00A71699"/>
    <w:rsid w:val="00A73F02"/>
    <w:rsid w:val="00A7657E"/>
    <w:rsid w:val="00A82630"/>
    <w:rsid w:val="00A86FE9"/>
    <w:rsid w:val="00A90640"/>
    <w:rsid w:val="00A90683"/>
    <w:rsid w:val="00A940DC"/>
    <w:rsid w:val="00A94F09"/>
    <w:rsid w:val="00A95244"/>
    <w:rsid w:val="00A9645E"/>
    <w:rsid w:val="00AB1035"/>
    <w:rsid w:val="00AB504F"/>
    <w:rsid w:val="00AB543F"/>
    <w:rsid w:val="00AB5515"/>
    <w:rsid w:val="00AB633C"/>
    <w:rsid w:val="00AB6EFC"/>
    <w:rsid w:val="00AB6FD7"/>
    <w:rsid w:val="00AC0B65"/>
    <w:rsid w:val="00AC1BF2"/>
    <w:rsid w:val="00AC295F"/>
    <w:rsid w:val="00AD4448"/>
    <w:rsid w:val="00AE209E"/>
    <w:rsid w:val="00AE2450"/>
    <w:rsid w:val="00AE3320"/>
    <w:rsid w:val="00AE44F1"/>
    <w:rsid w:val="00AE4F3F"/>
    <w:rsid w:val="00AE5BF6"/>
    <w:rsid w:val="00AE7E70"/>
    <w:rsid w:val="00AF03FA"/>
    <w:rsid w:val="00AF1767"/>
    <w:rsid w:val="00AF414E"/>
    <w:rsid w:val="00AF7B64"/>
    <w:rsid w:val="00B0093C"/>
    <w:rsid w:val="00B00E3D"/>
    <w:rsid w:val="00B0100A"/>
    <w:rsid w:val="00B02A4C"/>
    <w:rsid w:val="00B124FE"/>
    <w:rsid w:val="00B12F62"/>
    <w:rsid w:val="00B162A9"/>
    <w:rsid w:val="00B20D8B"/>
    <w:rsid w:val="00B20DC2"/>
    <w:rsid w:val="00B21364"/>
    <w:rsid w:val="00B22F42"/>
    <w:rsid w:val="00B26E1D"/>
    <w:rsid w:val="00B305C4"/>
    <w:rsid w:val="00B33D5D"/>
    <w:rsid w:val="00B34460"/>
    <w:rsid w:val="00B35455"/>
    <w:rsid w:val="00B37EA4"/>
    <w:rsid w:val="00B43E3E"/>
    <w:rsid w:val="00B46A40"/>
    <w:rsid w:val="00B476AF"/>
    <w:rsid w:val="00B5395D"/>
    <w:rsid w:val="00B53EFC"/>
    <w:rsid w:val="00B5509D"/>
    <w:rsid w:val="00B64566"/>
    <w:rsid w:val="00B70D6A"/>
    <w:rsid w:val="00B716A1"/>
    <w:rsid w:val="00B72C71"/>
    <w:rsid w:val="00B73BE3"/>
    <w:rsid w:val="00B74CCF"/>
    <w:rsid w:val="00B76E36"/>
    <w:rsid w:val="00B77BE8"/>
    <w:rsid w:val="00B81315"/>
    <w:rsid w:val="00B82670"/>
    <w:rsid w:val="00B85A68"/>
    <w:rsid w:val="00B92969"/>
    <w:rsid w:val="00BA198E"/>
    <w:rsid w:val="00BA3FF9"/>
    <w:rsid w:val="00BA5A5B"/>
    <w:rsid w:val="00BB320E"/>
    <w:rsid w:val="00BB5217"/>
    <w:rsid w:val="00BB6C2F"/>
    <w:rsid w:val="00BB6E02"/>
    <w:rsid w:val="00BB744F"/>
    <w:rsid w:val="00BD1590"/>
    <w:rsid w:val="00BD3C8C"/>
    <w:rsid w:val="00BD4C6E"/>
    <w:rsid w:val="00BD51BE"/>
    <w:rsid w:val="00BD68A3"/>
    <w:rsid w:val="00BD6EC0"/>
    <w:rsid w:val="00BE29D3"/>
    <w:rsid w:val="00BE3870"/>
    <w:rsid w:val="00BE4951"/>
    <w:rsid w:val="00BE4E73"/>
    <w:rsid w:val="00BF0A65"/>
    <w:rsid w:val="00BF1A55"/>
    <w:rsid w:val="00BF37C7"/>
    <w:rsid w:val="00BF4395"/>
    <w:rsid w:val="00C02F99"/>
    <w:rsid w:val="00C03C71"/>
    <w:rsid w:val="00C05D9E"/>
    <w:rsid w:val="00C064D0"/>
    <w:rsid w:val="00C072EF"/>
    <w:rsid w:val="00C103A6"/>
    <w:rsid w:val="00C10D9D"/>
    <w:rsid w:val="00C1546B"/>
    <w:rsid w:val="00C16F1E"/>
    <w:rsid w:val="00C220A0"/>
    <w:rsid w:val="00C327BF"/>
    <w:rsid w:val="00C41AB9"/>
    <w:rsid w:val="00C429EB"/>
    <w:rsid w:val="00C43A9D"/>
    <w:rsid w:val="00C44C0B"/>
    <w:rsid w:val="00C50B5A"/>
    <w:rsid w:val="00C52562"/>
    <w:rsid w:val="00C56545"/>
    <w:rsid w:val="00C64724"/>
    <w:rsid w:val="00C65A7D"/>
    <w:rsid w:val="00C66951"/>
    <w:rsid w:val="00C7347A"/>
    <w:rsid w:val="00C76563"/>
    <w:rsid w:val="00C973B6"/>
    <w:rsid w:val="00CA0DF0"/>
    <w:rsid w:val="00CA111C"/>
    <w:rsid w:val="00CA609A"/>
    <w:rsid w:val="00CB090E"/>
    <w:rsid w:val="00CC0068"/>
    <w:rsid w:val="00CC4D6E"/>
    <w:rsid w:val="00CC7CED"/>
    <w:rsid w:val="00CD0C56"/>
    <w:rsid w:val="00CD2A6F"/>
    <w:rsid w:val="00CD3AB6"/>
    <w:rsid w:val="00CD4548"/>
    <w:rsid w:val="00CD55E2"/>
    <w:rsid w:val="00CD6F41"/>
    <w:rsid w:val="00CE13C4"/>
    <w:rsid w:val="00CE53C6"/>
    <w:rsid w:val="00CE7FC8"/>
    <w:rsid w:val="00CF1DBF"/>
    <w:rsid w:val="00CF2031"/>
    <w:rsid w:val="00CF44D5"/>
    <w:rsid w:val="00CF5034"/>
    <w:rsid w:val="00CF5191"/>
    <w:rsid w:val="00CF6964"/>
    <w:rsid w:val="00CF7837"/>
    <w:rsid w:val="00D026DB"/>
    <w:rsid w:val="00D0536A"/>
    <w:rsid w:val="00D061CB"/>
    <w:rsid w:val="00D0661E"/>
    <w:rsid w:val="00D133A2"/>
    <w:rsid w:val="00D141D0"/>
    <w:rsid w:val="00D1434B"/>
    <w:rsid w:val="00D150D1"/>
    <w:rsid w:val="00D17C25"/>
    <w:rsid w:val="00D227D0"/>
    <w:rsid w:val="00D24FBD"/>
    <w:rsid w:val="00D26184"/>
    <w:rsid w:val="00D2649D"/>
    <w:rsid w:val="00D27682"/>
    <w:rsid w:val="00D31642"/>
    <w:rsid w:val="00D332B5"/>
    <w:rsid w:val="00D366C5"/>
    <w:rsid w:val="00D36EBD"/>
    <w:rsid w:val="00D4281A"/>
    <w:rsid w:val="00D4511E"/>
    <w:rsid w:val="00D45F39"/>
    <w:rsid w:val="00D51AA9"/>
    <w:rsid w:val="00D55A5A"/>
    <w:rsid w:val="00D5664F"/>
    <w:rsid w:val="00D57958"/>
    <w:rsid w:val="00D603BC"/>
    <w:rsid w:val="00D615E6"/>
    <w:rsid w:val="00D61ACF"/>
    <w:rsid w:val="00D70038"/>
    <w:rsid w:val="00D728E2"/>
    <w:rsid w:val="00D756F8"/>
    <w:rsid w:val="00D777E6"/>
    <w:rsid w:val="00D873C1"/>
    <w:rsid w:val="00D9155A"/>
    <w:rsid w:val="00D915DF"/>
    <w:rsid w:val="00D96DB8"/>
    <w:rsid w:val="00DA0033"/>
    <w:rsid w:val="00DA4B94"/>
    <w:rsid w:val="00DA6DB3"/>
    <w:rsid w:val="00DB0419"/>
    <w:rsid w:val="00DB0E60"/>
    <w:rsid w:val="00DB1BB2"/>
    <w:rsid w:val="00DB26B0"/>
    <w:rsid w:val="00DC078C"/>
    <w:rsid w:val="00DC3678"/>
    <w:rsid w:val="00DC62B1"/>
    <w:rsid w:val="00DD299A"/>
    <w:rsid w:val="00DD4B9C"/>
    <w:rsid w:val="00DE054D"/>
    <w:rsid w:val="00DE29AA"/>
    <w:rsid w:val="00DE7A39"/>
    <w:rsid w:val="00DF041F"/>
    <w:rsid w:val="00DF08DD"/>
    <w:rsid w:val="00DF4595"/>
    <w:rsid w:val="00DF757F"/>
    <w:rsid w:val="00E00033"/>
    <w:rsid w:val="00E01BA0"/>
    <w:rsid w:val="00E024F6"/>
    <w:rsid w:val="00E0261F"/>
    <w:rsid w:val="00E0418E"/>
    <w:rsid w:val="00E10BB7"/>
    <w:rsid w:val="00E1269E"/>
    <w:rsid w:val="00E134D4"/>
    <w:rsid w:val="00E30DB6"/>
    <w:rsid w:val="00E312A9"/>
    <w:rsid w:val="00E31593"/>
    <w:rsid w:val="00E34795"/>
    <w:rsid w:val="00E369DF"/>
    <w:rsid w:val="00E403D8"/>
    <w:rsid w:val="00E40960"/>
    <w:rsid w:val="00E4128C"/>
    <w:rsid w:val="00E42986"/>
    <w:rsid w:val="00E43EA1"/>
    <w:rsid w:val="00E50CEF"/>
    <w:rsid w:val="00E54170"/>
    <w:rsid w:val="00E550C7"/>
    <w:rsid w:val="00E70647"/>
    <w:rsid w:val="00E7078B"/>
    <w:rsid w:val="00E70F73"/>
    <w:rsid w:val="00E741D6"/>
    <w:rsid w:val="00E77B9E"/>
    <w:rsid w:val="00E77DB5"/>
    <w:rsid w:val="00E81C29"/>
    <w:rsid w:val="00E8430C"/>
    <w:rsid w:val="00E870C1"/>
    <w:rsid w:val="00E92511"/>
    <w:rsid w:val="00E95295"/>
    <w:rsid w:val="00E958C0"/>
    <w:rsid w:val="00E9710B"/>
    <w:rsid w:val="00EA3678"/>
    <w:rsid w:val="00EA3A7C"/>
    <w:rsid w:val="00EA5A3F"/>
    <w:rsid w:val="00EB2472"/>
    <w:rsid w:val="00EB5A1D"/>
    <w:rsid w:val="00EB7B45"/>
    <w:rsid w:val="00EC336E"/>
    <w:rsid w:val="00EC4EA0"/>
    <w:rsid w:val="00EC5C2B"/>
    <w:rsid w:val="00EC7E06"/>
    <w:rsid w:val="00ED3FA7"/>
    <w:rsid w:val="00ED523A"/>
    <w:rsid w:val="00EE0608"/>
    <w:rsid w:val="00EE1398"/>
    <w:rsid w:val="00EE4B60"/>
    <w:rsid w:val="00EE7CF1"/>
    <w:rsid w:val="00EF5330"/>
    <w:rsid w:val="00F004CD"/>
    <w:rsid w:val="00F00626"/>
    <w:rsid w:val="00F025EF"/>
    <w:rsid w:val="00F02FB3"/>
    <w:rsid w:val="00F1114B"/>
    <w:rsid w:val="00F123BE"/>
    <w:rsid w:val="00F12DB9"/>
    <w:rsid w:val="00F14BB9"/>
    <w:rsid w:val="00F17565"/>
    <w:rsid w:val="00F2755F"/>
    <w:rsid w:val="00F3048F"/>
    <w:rsid w:val="00F311E1"/>
    <w:rsid w:val="00F31946"/>
    <w:rsid w:val="00F372AD"/>
    <w:rsid w:val="00F47D6A"/>
    <w:rsid w:val="00F5166B"/>
    <w:rsid w:val="00F52EF1"/>
    <w:rsid w:val="00F54129"/>
    <w:rsid w:val="00F54F4A"/>
    <w:rsid w:val="00F55274"/>
    <w:rsid w:val="00F55B5C"/>
    <w:rsid w:val="00F60213"/>
    <w:rsid w:val="00F6632E"/>
    <w:rsid w:val="00F71E32"/>
    <w:rsid w:val="00F73E3C"/>
    <w:rsid w:val="00F74B4A"/>
    <w:rsid w:val="00F7503E"/>
    <w:rsid w:val="00F75132"/>
    <w:rsid w:val="00F75B36"/>
    <w:rsid w:val="00F80470"/>
    <w:rsid w:val="00F837CF"/>
    <w:rsid w:val="00F845A7"/>
    <w:rsid w:val="00F85ADF"/>
    <w:rsid w:val="00F869E8"/>
    <w:rsid w:val="00F878F2"/>
    <w:rsid w:val="00F95A49"/>
    <w:rsid w:val="00FA08BE"/>
    <w:rsid w:val="00FA1880"/>
    <w:rsid w:val="00FA70DD"/>
    <w:rsid w:val="00FA71C3"/>
    <w:rsid w:val="00FB00DF"/>
    <w:rsid w:val="00FB0DDC"/>
    <w:rsid w:val="00FB4EBB"/>
    <w:rsid w:val="00FB6374"/>
    <w:rsid w:val="00FC097F"/>
    <w:rsid w:val="00FC2F9C"/>
    <w:rsid w:val="00FC3D57"/>
    <w:rsid w:val="00FC4D05"/>
    <w:rsid w:val="00FC57CE"/>
    <w:rsid w:val="00FC5DF9"/>
    <w:rsid w:val="00FC66F4"/>
    <w:rsid w:val="00FC705E"/>
    <w:rsid w:val="00FC73C0"/>
    <w:rsid w:val="00FD0EC5"/>
    <w:rsid w:val="00FD2E4F"/>
    <w:rsid w:val="00FD6731"/>
    <w:rsid w:val="00FD7E5A"/>
    <w:rsid w:val="00FE1C6F"/>
    <w:rsid w:val="00FE34E2"/>
    <w:rsid w:val="00FE4A69"/>
    <w:rsid w:val="00FF244D"/>
    <w:rsid w:val="00FF32CD"/>
    <w:rsid w:val="00FF6371"/>
    <w:rsid w:val="00FF7A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A3BDF-BD9D-4ADC-B414-5EB9560B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B44"/>
  </w:style>
  <w:style w:type="paragraph" w:styleId="Heading1">
    <w:name w:val="heading 1"/>
    <w:basedOn w:val="Normal"/>
    <w:next w:val="Normal"/>
    <w:link w:val="Heading1Char"/>
    <w:uiPriority w:val="9"/>
    <w:qFormat/>
    <w:rsid w:val="00400B44"/>
    <w:pPr>
      <w:keepNext/>
      <w:keepLines/>
      <w:spacing w:before="400" w:after="40" w:line="240" w:lineRule="auto"/>
      <w:outlineLvl w:val="0"/>
    </w:pPr>
    <w:rPr>
      <w:rFonts w:asciiTheme="majorHAnsi" w:eastAsiaTheme="majorEastAsia" w:hAnsiTheme="majorHAnsi" w:cstheme="majorBidi"/>
      <w:color w:val="021730" w:themeColor="accent1" w:themeShade="80"/>
      <w:sz w:val="36"/>
      <w:szCs w:val="36"/>
    </w:rPr>
  </w:style>
  <w:style w:type="paragraph" w:styleId="Heading2">
    <w:name w:val="heading 2"/>
    <w:basedOn w:val="Normal"/>
    <w:next w:val="Normal"/>
    <w:link w:val="Heading2Char"/>
    <w:uiPriority w:val="9"/>
    <w:unhideWhenUsed/>
    <w:qFormat/>
    <w:rsid w:val="00400B44"/>
    <w:pPr>
      <w:keepNext/>
      <w:keepLines/>
      <w:spacing w:before="40" w:after="0" w:line="240" w:lineRule="auto"/>
      <w:outlineLvl w:val="1"/>
    </w:pPr>
    <w:rPr>
      <w:rFonts w:asciiTheme="majorHAnsi" w:eastAsiaTheme="majorEastAsia" w:hAnsiTheme="majorHAnsi" w:cstheme="majorBidi"/>
      <w:color w:val="032348" w:themeColor="accent1" w:themeShade="BF"/>
      <w:sz w:val="32"/>
      <w:szCs w:val="32"/>
    </w:rPr>
  </w:style>
  <w:style w:type="paragraph" w:styleId="Heading3">
    <w:name w:val="heading 3"/>
    <w:basedOn w:val="Normal"/>
    <w:next w:val="Normal"/>
    <w:link w:val="Heading3Char"/>
    <w:uiPriority w:val="9"/>
    <w:unhideWhenUsed/>
    <w:qFormat/>
    <w:rsid w:val="00400B44"/>
    <w:pPr>
      <w:keepNext/>
      <w:keepLines/>
      <w:spacing w:before="40" w:after="0" w:line="240" w:lineRule="auto"/>
      <w:outlineLvl w:val="2"/>
    </w:pPr>
    <w:rPr>
      <w:rFonts w:asciiTheme="majorHAnsi" w:eastAsiaTheme="majorEastAsia" w:hAnsiTheme="majorHAnsi" w:cstheme="majorBidi"/>
      <w:color w:val="032348" w:themeColor="accent1" w:themeShade="BF"/>
      <w:sz w:val="28"/>
      <w:szCs w:val="28"/>
    </w:rPr>
  </w:style>
  <w:style w:type="paragraph" w:styleId="Heading4">
    <w:name w:val="heading 4"/>
    <w:basedOn w:val="Normal"/>
    <w:next w:val="Normal"/>
    <w:link w:val="Heading4Char"/>
    <w:uiPriority w:val="9"/>
    <w:semiHidden/>
    <w:unhideWhenUsed/>
    <w:qFormat/>
    <w:rsid w:val="00400B44"/>
    <w:pPr>
      <w:keepNext/>
      <w:keepLines/>
      <w:spacing w:before="40" w:after="0"/>
      <w:outlineLvl w:val="3"/>
    </w:pPr>
    <w:rPr>
      <w:rFonts w:asciiTheme="majorHAnsi" w:eastAsiaTheme="majorEastAsia" w:hAnsiTheme="majorHAnsi" w:cstheme="majorBidi"/>
      <w:color w:val="032348" w:themeColor="accent1" w:themeShade="BF"/>
      <w:sz w:val="24"/>
      <w:szCs w:val="24"/>
    </w:rPr>
  </w:style>
  <w:style w:type="paragraph" w:styleId="Heading5">
    <w:name w:val="heading 5"/>
    <w:basedOn w:val="Normal"/>
    <w:next w:val="Normal"/>
    <w:link w:val="Heading5Char"/>
    <w:uiPriority w:val="9"/>
    <w:semiHidden/>
    <w:unhideWhenUsed/>
    <w:qFormat/>
    <w:rsid w:val="00400B44"/>
    <w:pPr>
      <w:keepNext/>
      <w:keepLines/>
      <w:spacing w:before="40" w:after="0"/>
      <w:outlineLvl w:val="4"/>
    </w:pPr>
    <w:rPr>
      <w:rFonts w:asciiTheme="majorHAnsi" w:eastAsiaTheme="majorEastAsia" w:hAnsiTheme="majorHAnsi" w:cstheme="majorBidi"/>
      <w:caps/>
      <w:color w:val="032348" w:themeColor="accent1" w:themeShade="BF"/>
    </w:rPr>
  </w:style>
  <w:style w:type="paragraph" w:styleId="Heading6">
    <w:name w:val="heading 6"/>
    <w:basedOn w:val="Normal"/>
    <w:next w:val="Normal"/>
    <w:link w:val="Heading6Char"/>
    <w:uiPriority w:val="9"/>
    <w:semiHidden/>
    <w:unhideWhenUsed/>
    <w:qFormat/>
    <w:rsid w:val="00400B44"/>
    <w:pPr>
      <w:keepNext/>
      <w:keepLines/>
      <w:spacing w:before="40" w:after="0"/>
      <w:outlineLvl w:val="5"/>
    </w:pPr>
    <w:rPr>
      <w:rFonts w:asciiTheme="majorHAnsi" w:eastAsiaTheme="majorEastAsia" w:hAnsiTheme="majorHAnsi" w:cstheme="majorBidi"/>
      <w:i/>
      <w:iCs/>
      <w:caps/>
      <w:color w:val="021730" w:themeColor="accent1" w:themeShade="80"/>
    </w:rPr>
  </w:style>
  <w:style w:type="paragraph" w:styleId="Heading7">
    <w:name w:val="heading 7"/>
    <w:basedOn w:val="Normal"/>
    <w:next w:val="Normal"/>
    <w:link w:val="Heading7Char"/>
    <w:uiPriority w:val="9"/>
    <w:semiHidden/>
    <w:unhideWhenUsed/>
    <w:qFormat/>
    <w:rsid w:val="00400B44"/>
    <w:pPr>
      <w:keepNext/>
      <w:keepLines/>
      <w:spacing w:before="40" w:after="0"/>
      <w:outlineLvl w:val="6"/>
    </w:pPr>
    <w:rPr>
      <w:rFonts w:asciiTheme="majorHAnsi" w:eastAsiaTheme="majorEastAsia" w:hAnsiTheme="majorHAnsi" w:cstheme="majorBidi"/>
      <w:b/>
      <w:bCs/>
      <w:color w:val="021730" w:themeColor="accent1" w:themeShade="80"/>
    </w:rPr>
  </w:style>
  <w:style w:type="paragraph" w:styleId="Heading8">
    <w:name w:val="heading 8"/>
    <w:basedOn w:val="Normal"/>
    <w:next w:val="Normal"/>
    <w:link w:val="Heading8Char"/>
    <w:uiPriority w:val="9"/>
    <w:semiHidden/>
    <w:unhideWhenUsed/>
    <w:qFormat/>
    <w:rsid w:val="00400B44"/>
    <w:pPr>
      <w:keepNext/>
      <w:keepLines/>
      <w:spacing w:before="40" w:after="0"/>
      <w:outlineLvl w:val="7"/>
    </w:pPr>
    <w:rPr>
      <w:rFonts w:asciiTheme="majorHAnsi" w:eastAsiaTheme="majorEastAsia" w:hAnsiTheme="majorHAnsi" w:cstheme="majorBidi"/>
      <w:b/>
      <w:bCs/>
      <w:i/>
      <w:iCs/>
      <w:color w:val="021730" w:themeColor="accent1" w:themeShade="80"/>
    </w:rPr>
  </w:style>
  <w:style w:type="paragraph" w:styleId="Heading9">
    <w:name w:val="heading 9"/>
    <w:basedOn w:val="Normal"/>
    <w:next w:val="Normal"/>
    <w:link w:val="Heading9Char"/>
    <w:uiPriority w:val="9"/>
    <w:semiHidden/>
    <w:unhideWhenUsed/>
    <w:qFormat/>
    <w:rsid w:val="00400B44"/>
    <w:pPr>
      <w:keepNext/>
      <w:keepLines/>
      <w:spacing w:before="40" w:after="0"/>
      <w:outlineLvl w:val="8"/>
    </w:pPr>
    <w:rPr>
      <w:rFonts w:asciiTheme="majorHAnsi" w:eastAsiaTheme="majorEastAsia" w:hAnsiTheme="majorHAnsi" w:cstheme="majorBidi"/>
      <w:i/>
      <w:iCs/>
      <w:color w:val="02173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B44"/>
    <w:rPr>
      <w:rFonts w:asciiTheme="majorHAnsi" w:eastAsiaTheme="majorEastAsia" w:hAnsiTheme="majorHAnsi" w:cstheme="majorBidi"/>
      <w:color w:val="021730" w:themeColor="accent1" w:themeShade="80"/>
      <w:sz w:val="36"/>
      <w:szCs w:val="36"/>
    </w:rPr>
  </w:style>
  <w:style w:type="paragraph" w:customStyle="1" w:styleId="Body">
    <w:name w:val="Body"/>
    <w:rsid w:val="00E403D8"/>
    <w:pPr>
      <w:pBdr>
        <w:top w:val="nil"/>
        <w:left w:val="nil"/>
        <w:bottom w:val="nil"/>
        <w:right w:val="nil"/>
        <w:between w:val="nil"/>
        <w:bar w:val="nil"/>
      </w:pBdr>
    </w:pPr>
    <w:rPr>
      <w:rFonts w:ascii="Calibri" w:eastAsia="Calibri" w:hAnsi="Calibri" w:cs="Calibri"/>
      <w:color w:val="000000"/>
      <w:u w:color="000000"/>
      <w:bdr w:val="nil"/>
      <w:lang w:eastAsia="en-AU"/>
    </w:rPr>
  </w:style>
  <w:style w:type="table" w:styleId="TableGrid">
    <w:name w:val="Table Grid"/>
    <w:basedOn w:val="TableNormal"/>
    <w:uiPriority w:val="39"/>
    <w:rsid w:val="00E403D8"/>
    <w:pPr>
      <w:pBdr>
        <w:top w:val="nil"/>
        <w:left w:val="nil"/>
        <w:bottom w:val="nil"/>
        <w:right w:val="nil"/>
        <w:between w:val="nil"/>
        <w:bar w:val="nil"/>
      </w:pBdr>
    </w:pPr>
    <w:rPr>
      <w:rFonts w:ascii="Times New Roman" w:eastAsia="Arial Unicode MS" w:hAnsi="Times New Roman" w:cs="Times New Roman"/>
      <w:sz w:val="20"/>
      <w:szCs w:val="20"/>
      <w:bdr w:val="nil"/>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403D8"/>
    <w:rPr>
      <w:sz w:val="20"/>
      <w:szCs w:val="20"/>
    </w:rPr>
  </w:style>
  <w:style w:type="character" w:customStyle="1" w:styleId="FootnoteTextChar">
    <w:name w:val="Footnote Text Char"/>
    <w:basedOn w:val="DefaultParagraphFont"/>
    <w:link w:val="FootnoteText"/>
    <w:uiPriority w:val="99"/>
    <w:rsid w:val="00E403D8"/>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unhideWhenUsed/>
    <w:rsid w:val="00E403D8"/>
    <w:rPr>
      <w:vertAlign w:val="superscript"/>
    </w:rPr>
  </w:style>
  <w:style w:type="character" w:customStyle="1" w:styleId="Heading2Char">
    <w:name w:val="Heading 2 Char"/>
    <w:basedOn w:val="DefaultParagraphFont"/>
    <w:link w:val="Heading2"/>
    <w:uiPriority w:val="9"/>
    <w:rsid w:val="00400B44"/>
    <w:rPr>
      <w:rFonts w:asciiTheme="majorHAnsi" w:eastAsiaTheme="majorEastAsia" w:hAnsiTheme="majorHAnsi" w:cstheme="majorBidi"/>
      <w:color w:val="032348" w:themeColor="accent1" w:themeShade="BF"/>
      <w:sz w:val="32"/>
      <w:szCs w:val="32"/>
    </w:rPr>
  </w:style>
  <w:style w:type="character" w:customStyle="1" w:styleId="Heading3Char">
    <w:name w:val="Heading 3 Char"/>
    <w:basedOn w:val="DefaultParagraphFont"/>
    <w:link w:val="Heading3"/>
    <w:uiPriority w:val="9"/>
    <w:rsid w:val="00400B44"/>
    <w:rPr>
      <w:rFonts w:asciiTheme="majorHAnsi" w:eastAsiaTheme="majorEastAsia" w:hAnsiTheme="majorHAnsi" w:cstheme="majorBidi"/>
      <w:color w:val="032348" w:themeColor="accent1" w:themeShade="BF"/>
      <w:sz w:val="28"/>
      <w:szCs w:val="28"/>
    </w:rPr>
  </w:style>
  <w:style w:type="paragraph" w:styleId="NoSpacing">
    <w:name w:val="No Spacing"/>
    <w:uiPriority w:val="1"/>
    <w:qFormat/>
    <w:rsid w:val="00400B44"/>
    <w:pPr>
      <w:spacing w:after="0" w:line="240" w:lineRule="auto"/>
    </w:pPr>
  </w:style>
  <w:style w:type="paragraph" w:styleId="ListParagraph">
    <w:name w:val="List Paragraph"/>
    <w:basedOn w:val="Normal"/>
    <w:uiPriority w:val="34"/>
    <w:qFormat/>
    <w:rsid w:val="00B33D5D"/>
    <w:pPr>
      <w:ind w:left="720"/>
      <w:contextualSpacing/>
    </w:pPr>
  </w:style>
  <w:style w:type="paragraph" w:styleId="Header">
    <w:name w:val="header"/>
    <w:basedOn w:val="Normal"/>
    <w:link w:val="HeaderChar"/>
    <w:uiPriority w:val="99"/>
    <w:unhideWhenUsed/>
    <w:rsid w:val="00101B61"/>
    <w:pPr>
      <w:tabs>
        <w:tab w:val="center" w:pos="4513"/>
        <w:tab w:val="right" w:pos="9026"/>
      </w:tabs>
    </w:pPr>
  </w:style>
  <w:style w:type="character" w:customStyle="1" w:styleId="HeaderChar">
    <w:name w:val="Header Char"/>
    <w:basedOn w:val="DefaultParagraphFont"/>
    <w:link w:val="Header"/>
    <w:uiPriority w:val="99"/>
    <w:rsid w:val="00101B61"/>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101B61"/>
    <w:pPr>
      <w:tabs>
        <w:tab w:val="center" w:pos="4513"/>
        <w:tab w:val="right" w:pos="9026"/>
      </w:tabs>
    </w:pPr>
  </w:style>
  <w:style w:type="character" w:customStyle="1" w:styleId="FooterChar">
    <w:name w:val="Footer Char"/>
    <w:basedOn w:val="DefaultParagraphFont"/>
    <w:link w:val="Footer"/>
    <w:uiPriority w:val="99"/>
    <w:rsid w:val="00101B61"/>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9C47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778"/>
    <w:rPr>
      <w:rFonts w:ascii="Segoe UI" w:eastAsia="Arial Unicode MS" w:hAnsi="Segoe UI" w:cs="Segoe UI"/>
      <w:sz w:val="18"/>
      <w:szCs w:val="18"/>
      <w:bdr w:val="nil"/>
    </w:rPr>
  </w:style>
  <w:style w:type="character" w:customStyle="1" w:styleId="Heading4Char">
    <w:name w:val="Heading 4 Char"/>
    <w:basedOn w:val="DefaultParagraphFont"/>
    <w:link w:val="Heading4"/>
    <w:uiPriority w:val="9"/>
    <w:semiHidden/>
    <w:rsid w:val="00400B44"/>
    <w:rPr>
      <w:rFonts w:asciiTheme="majorHAnsi" w:eastAsiaTheme="majorEastAsia" w:hAnsiTheme="majorHAnsi" w:cstheme="majorBidi"/>
      <w:color w:val="032348" w:themeColor="accent1" w:themeShade="BF"/>
      <w:sz w:val="24"/>
      <w:szCs w:val="24"/>
    </w:rPr>
  </w:style>
  <w:style w:type="character" w:customStyle="1" w:styleId="Heading5Char">
    <w:name w:val="Heading 5 Char"/>
    <w:basedOn w:val="DefaultParagraphFont"/>
    <w:link w:val="Heading5"/>
    <w:uiPriority w:val="9"/>
    <w:semiHidden/>
    <w:rsid w:val="00400B44"/>
    <w:rPr>
      <w:rFonts w:asciiTheme="majorHAnsi" w:eastAsiaTheme="majorEastAsia" w:hAnsiTheme="majorHAnsi" w:cstheme="majorBidi"/>
      <w:caps/>
      <w:color w:val="032348" w:themeColor="accent1" w:themeShade="BF"/>
    </w:rPr>
  </w:style>
  <w:style w:type="character" w:customStyle="1" w:styleId="Heading6Char">
    <w:name w:val="Heading 6 Char"/>
    <w:basedOn w:val="DefaultParagraphFont"/>
    <w:link w:val="Heading6"/>
    <w:uiPriority w:val="9"/>
    <w:semiHidden/>
    <w:rsid w:val="00400B44"/>
    <w:rPr>
      <w:rFonts w:asciiTheme="majorHAnsi" w:eastAsiaTheme="majorEastAsia" w:hAnsiTheme="majorHAnsi" w:cstheme="majorBidi"/>
      <w:i/>
      <w:iCs/>
      <w:caps/>
      <w:color w:val="021730" w:themeColor="accent1" w:themeShade="80"/>
    </w:rPr>
  </w:style>
  <w:style w:type="character" w:customStyle="1" w:styleId="Heading7Char">
    <w:name w:val="Heading 7 Char"/>
    <w:basedOn w:val="DefaultParagraphFont"/>
    <w:link w:val="Heading7"/>
    <w:uiPriority w:val="9"/>
    <w:semiHidden/>
    <w:rsid w:val="00400B44"/>
    <w:rPr>
      <w:rFonts w:asciiTheme="majorHAnsi" w:eastAsiaTheme="majorEastAsia" w:hAnsiTheme="majorHAnsi" w:cstheme="majorBidi"/>
      <w:b/>
      <w:bCs/>
      <w:color w:val="021730" w:themeColor="accent1" w:themeShade="80"/>
    </w:rPr>
  </w:style>
  <w:style w:type="character" w:customStyle="1" w:styleId="Heading8Char">
    <w:name w:val="Heading 8 Char"/>
    <w:basedOn w:val="DefaultParagraphFont"/>
    <w:link w:val="Heading8"/>
    <w:uiPriority w:val="9"/>
    <w:semiHidden/>
    <w:rsid w:val="00400B44"/>
    <w:rPr>
      <w:rFonts w:asciiTheme="majorHAnsi" w:eastAsiaTheme="majorEastAsia" w:hAnsiTheme="majorHAnsi" w:cstheme="majorBidi"/>
      <w:b/>
      <w:bCs/>
      <w:i/>
      <w:iCs/>
      <w:color w:val="021730" w:themeColor="accent1" w:themeShade="80"/>
    </w:rPr>
  </w:style>
  <w:style w:type="character" w:customStyle="1" w:styleId="Heading9Char">
    <w:name w:val="Heading 9 Char"/>
    <w:basedOn w:val="DefaultParagraphFont"/>
    <w:link w:val="Heading9"/>
    <w:uiPriority w:val="9"/>
    <w:semiHidden/>
    <w:rsid w:val="00400B44"/>
    <w:rPr>
      <w:rFonts w:asciiTheme="majorHAnsi" w:eastAsiaTheme="majorEastAsia" w:hAnsiTheme="majorHAnsi" w:cstheme="majorBidi"/>
      <w:i/>
      <w:iCs/>
      <w:color w:val="021730" w:themeColor="accent1" w:themeShade="80"/>
    </w:rPr>
  </w:style>
  <w:style w:type="paragraph" w:styleId="Caption">
    <w:name w:val="caption"/>
    <w:basedOn w:val="Normal"/>
    <w:next w:val="Normal"/>
    <w:uiPriority w:val="35"/>
    <w:semiHidden/>
    <w:unhideWhenUsed/>
    <w:qFormat/>
    <w:rsid w:val="00400B44"/>
    <w:pPr>
      <w:spacing w:line="240" w:lineRule="auto"/>
    </w:pPr>
    <w:rPr>
      <w:b/>
      <w:bCs/>
      <w:smallCaps/>
      <w:color w:val="146194" w:themeColor="text2"/>
    </w:rPr>
  </w:style>
  <w:style w:type="paragraph" w:styleId="Title">
    <w:name w:val="Title"/>
    <w:basedOn w:val="Normal"/>
    <w:next w:val="Normal"/>
    <w:link w:val="TitleChar"/>
    <w:uiPriority w:val="10"/>
    <w:qFormat/>
    <w:rsid w:val="00400B44"/>
    <w:pPr>
      <w:spacing w:after="0" w:line="204" w:lineRule="auto"/>
      <w:contextualSpacing/>
    </w:pPr>
    <w:rPr>
      <w:rFonts w:asciiTheme="majorHAnsi" w:eastAsiaTheme="majorEastAsia" w:hAnsiTheme="majorHAnsi" w:cstheme="majorBidi"/>
      <w:caps/>
      <w:color w:val="146194" w:themeColor="text2"/>
      <w:spacing w:val="-15"/>
      <w:sz w:val="72"/>
      <w:szCs w:val="72"/>
    </w:rPr>
  </w:style>
  <w:style w:type="character" w:customStyle="1" w:styleId="TitleChar">
    <w:name w:val="Title Char"/>
    <w:basedOn w:val="DefaultParagraphFont"/>
    <w:link w:val="Title"/>
    <w:uiPriority w:val="10"/>
    <w:rsid w:val="00400B44"/>
    <w:rPr>
      <w:rFonts w:asciiTheme="majorHAnsi" w:eastAsiaTheme="majorEastAsia" w:hAnsiTheme="majorHAnsi" w:cstheme="majorBidi"/>
      <w:caps/>
      <w:color w:val="146194" w:themeColor="text2"/>
      <w:spacing w:val="-15"/>
      <w:sz w:val="72"/>
      <w:szCs w:val="72"/>
    </w:rPr>
  </w:style>
  <w:style w:type="paragraph" w:styleId="Subtitle">
    <w:name w:val="Subtitle"/>
    <w:basedOn w:val="Normal"/>
    <w:next w:val="Normal"/>
    <w:link w:val="SubtitleChar"/>
    <w:uiPriority w:val="11"/>
    <w:qFormat/>
    <w:rsid w:val="00400B44"/>
    <w:pPr>
      <w:numPr>
        <w:ilvl w:val="1"/>
      </w:numPr>
      <w:spacing w:after="240" w:line="240" w:lineRule="auto"/>
    </w:pPr>
    <w:rPr>
      <w:rFonts w:asciiTheme="majorHAnsi" w:eastAsiaTheme="majorEastAsia" w:hAnsiTheme="majorHAnsi" w:cstheme="majorBidi"/>
      <w:color w:val="052F61" w:themeColor="accent1"/>
      <w:sz w:val="28"/>
      <w:szCs w:val="28"/>
    </w:rPr>
  </w:style>
  <w:style w:type="character" w:customStyle="1" w:styleId="SubtitleChar">
    <w:name w:val="Subtitle Char"/>
    <w:basedOn w:val="DefaultParagraphFont"/>
    <w:link w:val="Subtitle"/>
    <w:uiPriority w:val="11"/>
    <w:rsid w:val="00400B44"/>
    <w:rPr>
      <w:rFonts w:asciiTheme="majorHAnsi" w:eastAsiaTheme="majorEastAsia" w:hAnsiTheme="majorHAnsi" w:cstheme="majorBidi"/>
      <w:color w:val="052F61" w:themeColor="accent1"/>
      <w:sz w:val="28"/>
      <w:szCs w:val="28"/>
    </w:rPr>
  </w:style>
  <w:style w:type="character" w:styleId="Strong">
    <w:name w:val="Strong"/>
    <w:basedOn w:val="DefaultParagraphFont"/>
    <w:uiPriority w:val="22"/>
    <w:qFormat/>
    <w:rsid w:val="00400B44"/>
    <w:rPr>
      <w:b/>
      <w:bCs/>
    </w:rPr>
  </w:style>
  <w:style w:type="character" w:styleId="Emphasis">
    <w:name w:val="Emphasis"/>
    <w:basedOn w:val="DefaultParagraphFont"/>
    <w:uiPriority w:val="20"/>
    <w:qFormat/>
    <w:rsid w:val="00400B44"/>
    <w:rPr>
      <w:i/>
      <w:iCs/>
    </w:rPr>
  </w:style>
  <w:style w:type="paragraph" w:styleId="Quote">
    <w:name w:val="Quote"/>
    <w:basedOn w:val="Normal"/>
    <w:next w:val="Normal"/>
    <w:link w:val="QuoteChar"/>
    <w:uiPriority w:val="29"/>
    <w:qFormat/>
    <w:rsid w:val="00400B44"/>
    <w:pPr>
      <w:spacing w:before="120" w:after="120"/>
      <w:ind w:left="720"/>
    </w:pPr>
    <w:rPr>
      <w:color w:val="146194" w:themeColor="text2"/>
      <w:sz w:val="24"/>
      <w:szCs w:val="24"/>
    </w:rPr>
  </w:style>
  <w:style w:type="character" w:customStyle="1" w:styleId="QuoteChar">
    <w:name w:val="Quote Char"/>
    <w:basedOn w:val="DefaultParagraphFont"/>
    <w:link w:val="Quote"/>
    <w:uiPriority w:val="29"/>
    <w:rsid w:val="00400B44"/>
    <w:rPr>
      <w:color w:val="146194" w:themeColor="text2"/>
      <w:sz w:val="24"/>
      <w:szCs w:val="24"/>
    </w:rPr>
  </w:style>
  <w:style w:type="paragraph" w:styleId="IntenseQuote">
    <w:name w:val="Intense Quote"/>
    <w:basedOn w:val="Normal"/>
    <w:next w:val="Normal"/>
    <w:link w:val="IntenseQuoteChar"/>
    <w:uiPriority w:val="30"/>
    <w:qFormat/>
    <w:rsid w:val="00400B44"/>
    <w:pPr>
      <w:spacing w:before="100" w:beforeAutospacing="1" w:after="240" w:line="240" w:lineRule="auto"/>
      <w:ind w:left="720"/>
      <w:jc w:val="center"/>
    </w:pPr>
    <w:rPr>
      <w:rFonts w:asciiTheme="majorHAnsi" w:eastAsiaTheme="majorEastAsia" w:hAnsiTheme="majorHAnsi" w:cstheme="majorBidi"/>
      <w:color w:val="146194" w:themeColor="text2"/>
      <w:spacing w:val="-6"/>
      <w:sz w:val="32"/>
      <w:szCs w:val="32"/>
    </w:rPr>
  </w:style>
  <w:style w:type="character" w:customStyle="1" w:styleId="IntenseQuoteChar">
    <w:name w:val="Intense Quote Char"/>
    <w:basedOn w:val="DefaultParagraphFont"/>
    <w:link w:val="IntenseQuote"/>
    <w:uiPriority w:val="30"/>
    <w:rsid w:val="00400B44"/>
    <w:rPr>
      <w:rFonts w:asciiTheme="majorHAnsi" w:eastAsiaTheme="majorEastAsia" w:hAnsiTheme="majorHAnsi" w:cstheme="majorBidi"/>
      <w:color w:val="146194" w:themeColor="text2"/>
      <w:spacing w:val="-6"/>
      <w:sz w:val="32"/>
      <w:szCs w:val="32"/>
    </w:rPr>
  </w:style>
  <w:style w:type="character" w:styleId="SubtleEmphasis">
    <w:name w:val="Subtle Emphasis"/>
    <w:basedOn w:val="DefaultParagraphFont"/>
    <w:uiPriority w:val="19"/>
    <w:qFormat/>
    <w:rsid w:val="00400B44"/>
    <w:rPr>
      <w:i/>
      <w:iCs/>
      <w:color w:val="595959" w:themeColor="text1" w:themeTint="A6"/>
    </w:rPr>
  </w:style>
  <w:style w:type="character" w:styleId="IntenseEmphasis">
    <w:name w:val="Intense Emphasis"/>
    <w:basedOn w:val="DefaultParagraphFont"/>
    <w:uiPriority w:val="21"/>
    <w:qFormat/>
    <w:rsid w:val="00400B44"/>
    <w:rPr>
      <w:b/>
      <w:bCs/>
      <w:i/>
      <w:iCs/>
    </w:rPr>
  </w:style>
  <w:style w:type="character" w:styleId="SubtleReference">
    <w:name w:val="Subtle Reference"/>
    <w:basedOn w:val="DefaultParagraphFont"/>
    <w:uiPriority w:val="31"/>
    <w:qFormat/>
    <w:rsid w:val="00400B4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00B44"/>
    <w:rPr>
      <w:b/>
      <w:bCs/>
      <w:smallCaps/>
      <w:color w:val="146194" w:themeColor="text2"/>
      <w:u w:val="single"/>
    </w:rPr>
  </w:style>
  <w:style w:type="character" w:styleId="BookTitle">
    <w:name w:val="Book Title"/>
    <w:basedOn w:val="DefaultParagraphFont"/>
    <w:uiPriority w:val="33"/>
    <w:qFormat/>
    <w:rsid w:val="00400B44"/>
    <w:rPr>
      <w:b/>
      <w:bCs/>
      <w:smallCaps/>
      <w:spacing w:val="10"/>
    </w:rPr>
  </w:style>
  <w:style w:type="paragraph" w:styleId="TOCHeading">
    <w:name w:val="TOC Heading"/>
    <w:basedOn w:val="Heading1"/>
    <w:next w:val="Normal"/>
    <w:uiPriority w:val="39"/>
    <w:semiHidden/>
    <w:unhideWhenUsed/>
    <w:qFormat/>
    <w:rsid w:val="00400B4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63131">
      <w:bodyDiv w:val="1"/>
      <w:marLeft w:val="0"/>
      <w:marRight w:val="0"/>
      <w:marTop w:val="0"/>
      <w:marBottom w:val="0"/>
      <w:divBdr>
        <w:top w:val="none" w:sz="0" w:space="0" w:color="auto"/>
        <w:left w:val="none" w:sz="0" w:space="0" w:color="auto"/>
        <w:bottom w:val="none" w:sz="0" w:space="0" w:color="auto"/>
        <w:right w:val="none" w:sz="0" w:space="0" w:color="auto"/>
      </w:divBdr>
    </w:div>
    <w:div w:id="154608689">
      <w:bodyDiv w:val="1"/>
      <w:marLeft w:val="0"/>
      <w:marRight w:val="0"/>
      <w:marTop w:val="0"/>
      <w:marBottom w:val="0"/>
      <w:divBdr>
        <w:top w:val="none" w:sz="0" w:space="0" w:color="auto"/>
        <w:left w:val="none" w:sz="0" w:space="0" w:color="auto"/>
        <w:bottom w:val="none" w:sz="0" w:space="0" w:color="auto"/>
        <w:right w:val="none" w:sz="0" w:space="0" w:color="auto"/>
      </w:divBdr>
    </w:div>
    <w:div w:id="262108196">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295527994">
      <w:bodyDiv w:val="1"/>
      <w:marLeft w:val="0"/>
      <w:marRight w:val="0"/>
      <w:marTop w:val="0"/>
      <w:marBottom w:val="0"/>
      <w:divBdr>
        <w:top w:val="none" w:sz="0" w:space="0" w:color="auto"/>
        <w:left w:val="none" w:sz="0" w:space="0" w:color="auto"/>
        <w:bottom w:val="none" w:sz="0" w:space="0" w:color="auto"/>
        <w:right w:val="none" w:sz="0" w:space="0" w:color="auto"/>
      </w:divBdr>
    </w:div>
    <w:div w:id="315189439">
      <w:bodyDiv w:val="1"/>
      <w:marLeft w:val="0"/>
      <w:marRight w:val="0"/>
      <w:marTop w:val="0"/>
      <w:marBottom w:val="0"/>
      <w:divBdr>
        <w:top w:val="none" w:sz="0" w:space="0" w:color="auto"/>
        <w:left w:val="none" w:sz="0" w:space="0" w:color="auto"/>
        <w:bottom w:val="none" w:sz="0" w:space="0" w:color="auto"/>
        <w:right w:val="none" w:sz="0" w:space="0" w:color="auto"/>
      </w:divBdr>
    </w:div>
    <w:div w:id="337852277">
      <w:bodyDiv w:val="1"/>
      <w:marLeft w:val="0"/>
      <w:marRight w:val="0"/>
      <w:marTop w:val="0"/>
      <w:marBottom w:val="0"/>
      <w:divBdr>
        <w:top w:val="none" w:sz="0" w:space="0" w:color="auto"/>
        <w:left w:val="none" w:sz="0" w:space="0" w:color="auto"/>
        <w:bottom w:val="none" w:sz="0" w:space="0" w:color="auto"/>
        <w:right w:val="none" w:sz="0" w:space="0" w:color="auto"/>
      </w:divBdr>
    </w:div>
    <w:div w:id="376399174">
      <w:bodyDiv w:val="1"/>
      <w:marLeft w:val="0"/>
      <w:marRight w:val="0"/>
      <w:marTop w:val="0"/>
      <w:marBottom w:val="0"/>
      <w:divBdr>
        <w:top w:val="none" w:sz="0" w:space="0" w:color="auto"/>
        <w:left w:val="none" w:sz="0" w:space="0" w:color="auto"/>
        <w:bottom w:val="none" w:sz="0" w:space="0" w:color="auto"/>
        <w:right w:val="none" w:sz="0" w:space="0" w:color="auto"/>
      </w:divBdr>
    </w:div>
    <w:div w:id="419330696">
      <w:bodyDiv w:val="1"/>
      <w:marLeft w:val="0"/>
      <w:marRight w:val="0"/>
      <w:marTop w:val="0"/>
      <w:marBottom w:val="0"/>
      <w:divBdr>
        <w:top w:val="none" w:sz="0" w:space="0" w:color="auto"/>
        <w:left w:val="none" w:sz="0" w:space="0" w:color="auto"/>
        <w:bottom w:val="none" w:sz="0" w:space="0" w:color="auto"/>
        <w:right w:val="none" w:sz="0" w:space="0" w:color="auto"/>
      </w:divBdr>
    </w:div>
    <w:div w:id="443235948">
      <w:bodyDiv w:val="1"/>
      <w:marLeft w:val="0"/>
      <w:marRight w:val="0"/>
      <w:marTop w:val="0"/>
      <w:marBottom w:val="0"/>
      <w:divBdr>
        <w:top w:val="none" w:sz="0" w:space="0" w:color="auto"/>
        <w:left w:val="none" w:sz="0" w:space="0" w:color="auto"/>
        <w:bottom w:val="none" w:sz="0" w:space="0" w:color="auto"/>
        <w:right w:val="none" w:sz="0" w:space="0" w:color="auto"/>
      </w:divBdr>
    </w:div>
    <w:div w:id="450706047">
      <w:bodyDiv w:val="1"/>
      <w:marLeft w:val="0"/>
      <w:marRight w:val="0"/>
      <w:marTop w:val="0"/>
      <w:marBottom w:val="0"/>
      <w:divBdr>
        <w:top w:val="none" w:sz="0" w:space="0" w:color="auto"/>
        <w:left w:val="none" w:sz="0" w:space="0" w:color="auto"/>
        <w:bottom w:val="none" w:sz="0" w:space="0" w:color="auto"/>
        <w:right w:val="none" w:sz="0" w:space="0" w:color="auto"/>
      </w:divBdr>
    </w:div>
    <w:div w:id="549070665">
      <w:bodyDiv w:val="1"/>
      <w:marLeft w:val="0"/>
      <w:marRight w:val="0"/>
      <w:marTop w:val="0"/>
      <w:marBottom w:val="0"/>
      <w:divBdr>
        <w:top w:val="none" w:sz="0" w:space="0" w:color="auto"/>
        <w:left w:val="none" w:sz="0" w:space="0" w:color="auto"/>
        <w:bottom w:val="none" w:sz="0" w:space="0" w:color="auto"/>
        <w:right w:val="none" w:sz="0" w:space="0" w:color="auto"/>
      </w:divBdr>
    </w:div>
    <w:div w:id="573441491">
      <w:bodyDiv w:val="1"/>
      <w:marLeft w:val="0"/>
      <w:marRight w:val="0"/>
      <w:marTop w:val="0"/>
      <w:marBottom w:val="0"/>
      <w:divBdr>
        <w:top w:val="none" w:sz="0" w:space="0" w:color="auto"/>
        <w:left w:val="none" w:sz="0" w:space="0" w:color="auto"/>
        <w:bottom w:val="none" w:sz="0" w:space="0" w:color="auto"/>
        <w:right w:val="none" w:sz="0" w:space="0" w:color="auto"/>
      </w:divBdr>
    </w:div>
    <w:div w:id="642396415">
      <w:bodyDiv w:val="1"/>
      <w:marLeft w:val="0"/>
      <w:marRight w:val="0"/>
      <w:marTop w:val="0"/>
      <w:marBottom w:val="0"/>
      <w:divBdr>
        <w:top w:val="none" w:sz="0" w:space="0" w:color="auto"/>
        <w:left w:val="none" w:sz="0" w:space="0" w:color="auto"/>
        <w:bottom w:val="none" w:sz="0" w:space="0" w:color="auto"/>
        <w:right w:val="none" w:sz="0" w:space="0" w:color="auto"/>
      </w:divBdr>
    </w:div>
    <w:div w:id="734163668">
      <w:bodyDiv w:val="1"/>
      <w:marLeft w:val="0"/>
      <w:marRight w:val="0"/>
      <w:marTop w:val="0"/>
      <w:marBottom w:val="0"/>
      <w:divBdr>
        <w:top w:val="none" w:sz="0" w:space="0" w:color="auto"/>
        <w:left w:val="none" w:sz="0" w:space="0" w:color="auto"/>
        <w:bottom w:val="none" w:sz="0" w:space="0" w:color="auto"/>
        <w:right w:val="none" w:sz="0" w:space="0" w:color="auto"/>
      </w:divBdr>
    </w:div>
    <w:div w:id="777680910">
      <w:bodyDiv w:val="1"/>
      <w:marLeft w:val="0"/>
      <w:marRight w:val="0"/>
      <w:marTop w:val="0"/>
      <w:marBottom w:val="0"/>
      <w:divBdr>
        <w:top w:val="none" w:sz="0" w:space="0" w:color="auto"/>
        <w:left w:val="none" w:sz="0" w:space="0" w:color="auto"/>
        <w:bottom w:val="none" w:sz="0" w:space="0" w:color="auto"/>
        <w:right w:val="none" w:sz="0" w:space="0" w:color="auto"/>
      </w:divBdr>
    </w:div>
    <w:div w:id="797576317">
      <w:bodyDiv w:val="1"/>
      <w:marLeft w:val="0"/>
      <w:marRight w:val="0"/>
      <w:marTop w:val="0"/>
      <w:marBottom w:val="0"/>
      <w:divBdr>
        <w:top w:val="none" w:sz="0" w:space="0" w:color="auto"/>
        <w:left w:val="none" w:sz="0" w:space="0" w:color="auto"/>
        <w:bottom w:val="none" w:sz="0" w:space="0" w:color="auto"/>
        <w:right w:val="none" w:sz="0" w:space="0" w:color="auto"/>
      </w:divBdr>
    </w:div>
    <w:div w:id="806514110">
      <w:bodyDiv w:val="1"/>
      <w:marLeft w:val="0"/>
      <w:marRight w:val="0"/>
      <w:marTop w:val="0"/>
      <w:marBottom w:val="0"/>
      <w:divBdr>
        <w:top w:val="none" w:sz="0" w:space="0" w:color="auto"/>
        <w:left w:val="none" w:sz="0" w:space="0" w:color="auto"/>
        <w:bottom w:val="none" w:sz="0" w:space="0" w:color="auto"/>
        <w:right w:val="none" w:sz="0" w:space="0" w:color="auto"/>
      </w:divBdr>
    </w:div>
    <w:div w:id="812332728">
      <w:bodyDiv w:val="1"/>
      <w:marLeft w:val="0"/>
      <w:marRight w:val="0"/>
      <w:marTop w:val="0"/>
      <w:marBottom w:val="0"/>
      <w:divBdr>
        <w:top w:val="none" w:sz="0" w:space="0" w:color="auto"/>
        <w:left w:val="none" w:sz="0" w:space="0" w:color="auto"/>
        <w:bottom w:val="none" w:sz="0" w:space="0" w:color="auto"/>
        <w:right w:val="none" w:sz="0" w:space="0" w:color="auto"/>
      </w:divBdr>
    </w:div>
    <w:div w:id="890307573">
      <w:bodyDiv w:val="1"/>
      <w:marLeft w:val="0"/>
      <w:marRight w:val="0"/>
      <w:marTop w:val="0"/>
      <w:marBottom w:val="0"/>
      <w:divBdr>
        <w:top w:val="none" w:sz="0" w:space="0" w:color="auto"/>
        <w:left w:val="none" w:sz="0" w:space="0" w:color="auto"/>
        <w:bottom w:val="none" w:sz="0" w:space="0" w:color="auto"/>
        <w:right w:val="none" w:sz="0" w:space="0" w:color="auto"/>
      </w:divBdr>
    </w:div>
    <w:div w:id="898244658">
      <w:bodyDiv w:val="1"/>
      <w:marLeft w:val="0"/>
      <w:marRight w:val="0"/>
      <w:marTop w:val="0"/>
      <w:marBottom w:val="0"/>
      <w:divBdr>
        <w:top w:val="none" w:sz="0" w:space="0" w:color="auto"/>
        <w:left w:val="none" w:sz="0" w:space="0" w:color="auto"/>
        <w:bottom w:val="none" w:sz="0" w:space="0" w:color="auto"/>
        <w:right w:val="none" w:sz="0" w:space="0" w:color="auto"/>
      </w:divBdr>
    </w:div>
    <w:div w:id="1044793124">
      <w:bodyDiv w:val="1"/>
      <w:marLeft w:val="0"/>
      <w:marRight w:val="0"/>
      <w:marTop w:val="0"/>
      <w:marBottom w:val="0"/>
      <w:divBdr>
        <w:top w:val="none" w:sz="0" w:space="0" w:color="auto"/>
        <w:left w:val="none" w:sz="0" w:space="0" w:color="auto"/>
        <w:bottom w:val="none" w:sz="0" w:space="0" w:color="auto"/>
        <w:right w:val="none" w:sz="0" w:space="0" w:color="auto"/>
      </w:divBdr>
    </w:div>
    <w:div w:id="1148666557">
      <w:bodyDiv w:val="1"/>
      <w:marLeft w:val="0"/>
      <w:marRight w:val="0"/>
      <w:marTop w:val="0"/>
      <w:marBottom w:val="0"/>
      <w:divBdr>
        <w:top w:val="none" w:sz="0" w:space="0" w:color="auto"/>
        <w:left w:val="none" w:sz="0" w:space="0" w:color="auto"/>
        <w:bottom w:val="none" w:sz="0" w:space="0" w:color="auto"/>
        <w:right w:val="none" w:sz="0" w:space="0" w:color="auto"/>
      </w:divBdr>
    </w:div>
    <w:div w:id="1157187509">
      <w:bodyDiv w:val="1"/>
      <w:marLeft w:val="0"/>
      <w:marRight w:val="0"/>
      <w:marTop w:val="0"/>
      <w:marBottom w:val="0"/>
      <w:divBdr>
        <w:top w:val="none" w:sz="0" w:space="0" w:color="auto"/>
        <w:left w:val="none" w:sz="0" w:space="0" w:color="auto"/>
        <w:bottom w:val="none" w:sz="0" w:space="0" w:color="auto"/>
        <w:right w:val="none" w:sz="0" w:space="0" w:color="auto"/>
      </w:divBdr>
    </w:div>
    <w:div w:id="1227914814">
      <w:bodyDiv w:val="1"/>
      <w:marLeft w:val="0"/>
      <w:marRight w:val="0"/>
      <w:marTop w:val="0"/>
      <w:marBottom w:val="0"/>
      <w:divBdr>
        <w:top w:val="none" w:sz="0" w:space="0" w:color="auto"/>
        <w:left w:val="none" w:sz="0" w:space="0" w:color="auto"/>
        <w:bottom w:val="none" w:sz="0" w:space="0" w:color="auto"/>
        <w:right w:val="none" w:sz="0" w:space="0" w:color="auto"/>
      </w:divBdr>
    </w:div>
    <w:div w:id="1262563453">
      <w:bodyDiv w:val="1"/>
      <w:marLeft w:val="0"/>
      <w:marRight w:val="0"/>
      <w:marTop w:val="0"/>
      <w:marBottom w:val="0"/>
      <w:divBdr>
        <w:top w:val="none" w:sz="0" w:space="0" w:color="auto"/>
        <w:left w:val="none" w:sz="0" w:space="0" w:color="auto"/>
        <w:bottom w:val="none" w:sz="0" w:space="0" w:color="auto"/>
        <w:right w:val="none" w:sz="0" w:space="0" w:color="auto"/>
      </w:divBdr>
    </w:div>
    <w:div w:id="1291934380">
      <w:bodyDiv w:val="1"/>
      <w:marLeft w:val="0"/>
      <w:marRight w:val="0"/>
      <w:marTop w:val="0"/>
      <w:marBottom w:val="0"/>
      <w:divBdr>
        <w:top w:val="none" w:sz="0" w:space="0" w:color="auto"/>
        <w:left w:val="none" w:sz="0" w:space="0" w:color="auto"/>
        <w:bottom w:val="none" w:sz="0" w:space="0" w:color="auto"/>
        <w:right w:val="none" w:sz="0" w:space="0" w:color="auto"/>
      </w:divBdr>
    </w:div>
    <w:div w:id="1355156403">
      <w:bodyDiv w:val="1"/>
      <w:marLeft w:val="0"/>
      <w:marRight w:val="0"/>
      <w:marTop w:val="0"/>
      <w:marBottom w:val="0"/>
      <w:divBdr>
        <w:top w:val="none" w:sz="0" w:space="0" w:color="auto"/>
        <w:left w:val="none" w:sz="0" w:space="0" w:color="auto"/>
        <w:bottom w:val="none" w:sz="0" w:space="0" w:color="auto"/>
        <w:right w:val="none" w:sz="0" w:space="0" w:color="auto"/>
      </w:divBdr>
    </w:div>
    <w:div w:id="1382753617">
      <w:bodyDiv w:val="1"/>
      <w:marLeft w:val="0"/>
      <w:marRight w:val="0"/>
      <w:marTop w:val="0"/>
      <w:marBottom w:val="0"/>
      <w:divBdr>
        <w:top w:val="none" w:sz="0" w:space="0" w:color="auto"/>
        <w:left w:val="none" w:sz="0" w:space="0" w:color="auto"/>
        <w:bottom w:val="none" w:sz="0" w:space="0" w:color="auto"/>
        <w:right w:val="none" w:sz="0" w:space="0" w:color="auto"/>
      </w:divBdr>
    </w:div>
    <w:div w:id="1458136867">
      <w:bodyDiv w:val="1"/>
      <w:marLeft w:val="0"/>
      <w:marRight w:val="0"/>
      <w:marTop w:val="0"/>
      <w:marBottom w:val="0"/>
      <w:divBdr>
        <w:top w:val="none" w:sz="0" w:space="0" w:color="auto"/>
        <w:left w:val="none" w:sz="0" w:space="0" w:color="auto"/>
        <w:bottom w:val="none" w:sz="0" w:space="0" w:color="auto"/>
        <w:right w:val="none" w:sz="0" w:space="0" w:color="auto"/>
      </w:divBdr>
    </w:div>
    <w:div w:id="1530682838">
      <w:bodyDiv w:val="1"/>
      <w:marLeft w:val="0"/>
      <w:marRight w:val="0"/>
      <w:marTop w:val="0"/>
      <w:marBottom w:val="0"/>
      <w:divBdr>
        <w:top w:val="none" w:sz="0" w:space="0" w:color="auto"/>
        <w:left w:val="none" w:sz="0" w:space="0" w:color="auto"/>
        <w:bottom w:val="none" w:sz="0" w:space="0" w:color="auto"/>
        <w:right w:val="none" w:sz="0" w:space="0" w:color="auto"/>
      </w:divBdr>
    </w:div>
    <w:div w:id="1580292764">
      <w:bodyDiv w:val="1"/>
      <w:marLeft w:val="0"/>
      <w:marRight w:val="0"/>
      <w:marTop w:val="0"/>
      <w:marBottom w:val="0"/>
      <w:divBdr>
        <w:top w:val="none" w:sz="0" w:space="0" w:color="auto"/>
        <w:left w:val="none" w:sz="0" w:space="0" w:color="auto"/>
        <w:bottom w:val="none" w:sz="0" w:space="0" w:color="auto"/>
        <w:right w:val="none" w:sz="0" w:space="0" w:color="auto"/>
      </w:divBdr>
    </w:div>
    <w:div w:id="1724017152">
      <w:bodyDiv w:val="1"/>
      <w:marLeft w:val="0"/>
      <w:marRight w:val="0"/>
      <w:marTop w:val="0"/>
      <w:marBottom w:val="0"/>
      <w:divBdr>
        <w:top w:val="none" w:sz="0" w:space="0" w:color="auto"/>
        <w:left w:val="none" w:sz="0" w:space="0" w:color="auto"/>
        <w:bottom w:val="none" w:sz="0" w:space="0" w:color="auto"/>
        <w:right w:val="none" w:sz="0" w:space="0" w:color="auto"/>
      </w:divBdr>
    </w:div>
    <w:div w:id="1797412978">
      <w:bodyDiv w:val="1"/>
      <w:marLeft w:val="0"/>
      <w:marRight w:val="0"/>
      <w:marTop w:val="0"/>
      <w:marBottom w:val="0"/>
      <w:divBdr>
        <w:top w:val="none" w:sz="0" w:space="0" w:color="auto"/>
        <w:left w:val="none" w:sz="0" w:space="0" w:color="auto"/>
        <w:bottom w:val="none" w:sz="0" w:space="0" w:color="auto"/>
        <w:right w:val="none" w:sz="0" w:space="0" w:color="auto"/>
      </w:divBdr>
    </w:div>
    <w:div w:id="1800368686">
      <w:bodyDiv w:val="1"/>
      <w:marLeft w:val="0"/>
      <w:marRight w:val="0"/>
      <w:marTop w:val="0"/>
      <w:marBottom w:val="0"/>
      <w:divBdr>
        <w:top w:val="none" w:sz="0" w:space="0" w:color="auto"/>
        <w:left w:val="none" w:sz="0" w:space="0" w:color="auto"/>
        <w:bottom w:val="none" w:sz="0" w:space="0" w:color="auto"/>
        <w:right w:val="none" w:sz="0" w:space="0" w:color="auto"/>
      </w:divBdr>
    </w:div>
    <w:div w:id="1857957343">
      <w:bodyDiv w:val="1"/>
      <w:marLeft w:val="0"/>
      <w:marRight w:val="0"/>
      <w:marTop w:val="0"/>
      <w:marBottom w:val="0"/>
      <w:divBdr>
        <w:top w:val="none" w:sz="0" w:space="0" w:color="auto"/>
        <w:left w:val="none" w:sz="0" w:space="0" w:color="auto"/>
        <w:bottom w:val="none" w:sz="0" w:space="0" w:color="auto"/>
        <w:right w:val="none" w:sz="0" w:space="0" w:color="auto"/>
      </w:divBdr>
    </w:div>
    <w:div w:id="1860662681">
      <w:bodyDiv w:val="1"/>
      <w:marLeft w:val="0"/>
      <w:marRight w:val="0"/>
      <w:marTop w:val="0"/>
      <w:marBottom w:val="0"/>
      <w:divBdr>
        <w:top w:val="none" w:sz="0" w:space="0" w:color="auto"/>
        <w:left w:val="none" w:sz="0" w:space="0" w:color="auto"/>
        <w:bottom w:val="none" w:sz="0" w:space="0" w:color="auto"/>
        <w:right w:val="none" w:sz="0" w:space="0" w:color="auto"/>
      </w:divBdr>
    </w:div>
    <w:div w:id="1876044248">
      <w:bodyDiv w:val="1"/>
      <w:marLeft w:val="0"/>
      <w:marRight w:val="0"/>
      <w:marTop w:val="0"/>
      <w:marBottom w:val="0"/>
      <w:divBdr>
        <w:top w:val="none" w:sz="0" w:space="0" w:color="auto"/>
        <w:left w:val="none" w:sz="0" w:space="0" w:color="auto"/>
        <w:bottom w:val="none" w:sz="0" w:space="0" w:color="auto"/>
        <w:right w:val="none" w:sz="0" w:space="0" w:color="auto"/>
      </w:divBdr>
    </w:div>
    <w:div w:id="1885754841">
      <w:bodyDiv w:val="1"/>
      <w:marLeft w:val="0"/>
      <w:marRight w:val="0"/>
      <w:marTop w:val="0"/>
      <w:marBottom w:val="0"/>
      <w:divBdr>
        <w:top w:val="none" w:sz="0" w:space="0" w:color="auto"/>
        <w:left w:val="none" w:sz="0" w:space="0" w:color="auto"/>
        <w:bottom w:val="none" w:sz="0" w:space="0" w:color="auto"/>
        <w:right w:val="none" w:sz="0" w:space="0" w:color="auto"/>
      </w:divBdr>
    </w:div>
    <w:div w:id="1908806964">
      <w:bodyDiv w:val="1"/>
      <w:marLeft w:val="0"/>
      <w:marRight w:val="0"/>
      <w:marTop w:val="0"/>
      <w:marBottom w:val="0"/>
      <w:divBdr>
        <w:top w:val="none" w:sz="0" w:space="0" w:color="auto"/>
        <w:left w:val="none" w:sz="0" w:space="0" w:color="auto"/>
        <w:bottom w:val="none" w:sz="0" w:space="0" w:color="auto"/>
        <w:right w:val="none" w:sz="0" w:space="0" w:color="auto"/>
      </w:divBdr>
    </w:div>
    <w:div w:id="1979844587">
      <w:bodyDiv w:val="1"/>
      <w:marLeft w:val="0"/>
      <w:marRight w:val="0"/>
      <w:marTop w:val="0"/>
      <w:marBottom w:val="0"/>
      <w:divBdr>
        <w:top w:val="none" w:sz="0" w:space="0" w:color="auto"/>
        <w:left w:val="none" w:sz="0" w:space="0" w:color="auto"/>
        <w:bottom w:val="none" w:sz="0" w:space="0" w:color="auto"/>
        <w:right w:val="none" w:sz="0" w:space="0" w:color="auto"/>
      </w:divBdr>
    </w:div>
    <w:div w:id="20498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bizlink\dhs\FACS\NON-FACS\MCKENZIK.BIZLINK\Desktop\ADC%20data%20Q2%202022%20-%202023%20for%20dashboard.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bizlink\dhs\FACS\NON-FACS\MCKENZIK.BIZLINK\Desktop\ADC%20data%20Q2%202022%20-%202023%20for%20dashboard.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bizlink\dhs\FACS\NON-FACS\MCKENZIK.BIZLINK\Desktop\ADC%20data%20Q2%202022%20-%202023%20for%20dashboard.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bizlink\dhs\FACS\NON-FACS\MCKENZIK.BIZLINK\Desktop\ADC%20data%20Q2%202022%20-%202023%20for%20dashboard.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bizlink\dhs\FACS\NON-FACS\MCKENZIK.BIZLINK\Desktop\ADC%20data%20Q2%202022%20-%202023%20for%20dashboard.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bizlink\dhs\FACS\NON-FACS\MCKENZIK.BIZLINK\Desktop\ADC%20data%20Q2%202022%20-%202023%20for%20dashboar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bizlink\dhs\FACS\NON-FACS\MCKENZIK.BIZLINK\Desktop\ADC%20data%20Q2%202022%20-%202023%20for%20dashboar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bizlink\dhs\FACS\NON-FACS\MCKENZIK.BIZLINK\Desktop\ADC%20data%20Q2%202022%20-%202023%20for%20dashboar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bizlink\dhs\FACS\NON-FACS\MCKENZIK.BIZLINK\Desktop\ADC%20data%20Q2%202022%20-%202023%20for%20dashboar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bizlink\dhs\FACS\NON-FACS\MCKENZIK.BIZLINK\Desktop\ADC%20data%20Q2%202022%20-%202023%20for%20dashboar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bizlink\dhs\FACS\NON-FACS\MCKENZIK.BIZLINK\Desktop\Location%20data%20Oct%20-%20Dec%20202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bizlink\dhs\FACS\NON-FACS\MCKENZIK.BIZLINK\Desktop\ADC%20data%20Q2%202022%20-%202023%20for%20dashboar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bizlink\dhs\FACS\NON-FACS\MCKENZIK.BIZLINK\Desktop\ADC%20data%20Q2%202022%20-%202023%20for%20dashboar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Calls!$G$7:$O$7</c:f>
              <c:strCache>
                <c:ptCount val="9"/>
                <c:pt idx="0">
                  <c:v>Oct-Dec 2020</c:v>
                </c:pt>
                <c:pt idx="1">
                  <c:v>Jan-Mar 2021</c:v>
                </c:pt>
                <c:pt idx="2">
                  <c:v>Apr-June 2021</c:v>
                </c:pt>
                <c:pt idx="3">
                  <c:v>July-Sept 2021</c:v>
                </c:pt>
                <c:pt idx="4">
                  <c:v>Oct-Dec 2021</c:v>
                </c:pt>
                <c:pt idx="5">
                  <c:v>Jan-Mar 2022</c:v>
                </c:pt>
                <c:pt idx="6">
                  <c:v>Apr-June 2022</c:v>
                </c:pt>
                <c:pt idx="7">
                  <c:v>July-Sept 2022</c:v>
                </c:pt>
                <c:pt idx="8">
                  <c:v>Oct-Dec 2022</c:v>
                </c:pt>
              </c:strCache>
            </c:strRef>
          </c:cat>
          <c:val>
            <c:numRef>
              <c:f>Calls!$G$8:$O$8</c:f>
              <c:numCache>
                <c:formatCode>General</c:formatCode>
                <c:ptCount val="9"/>
                <c:pt idx="0">
                  <c:v>2751</c:v>
                </c:pt>
                <c:pt idx="1">
                  <c:v>3752</c:v>
                </c:pt>
                <c:pt idx="2">
                  <c:v>3128</c:v>
                </c:pt>
                <c:pt idx="3">
                  <c:v>2951</c:v>
                </c:pt>
                <c:pt idx="4">
                  <c:v>2786</c:v>
                </c:pt>
                <c:pt idx="5">
                  <c:v>3894</c:v>
                </c:pt>
                <c:pt idx="6">
                  <c:v>2930</c:v>
                </c:pt>
                <c:pt idx="7">
                  <c:v>3547</c:v>
                </c:pt>
                <c:pt idx="8">
                  <c:v>3253</c:v>
                </c:pt>
              </c:numCache>
            </c:numRef>
          </c:val>
          <c:extLst>
            <c:ext xmlns:c16="http://schemas.microsoft.com/office/drawing/2014/chart" uri="{C3380CC4-5D6E-409C-BE32-E72D297353CC}">
              <c16:uniqueId val="{00000000-C485-43FB-AB1B-307E2FA85D70}"/>
            </c:ext>
          </c:extLst>
        </c:ser>
        <c:dLbls>
          <c:dLblPos val="inEnd"/>
          <c:showLegendKey val="0"/>
          <c:showVal val="1"/>
          <c:showCatName val="0"/>
          <c:showSerName val="0"/>
          <c:showPercent val="0"/>
          <c:showBubbleSize val="0"/>
        </c:dLbls>
        <c:gapWidth val="219"/>
        <c:overlap val="-27"/>
        <c:axId val="484739328"/>
        <c:axId val="484741296"/>
      </c:barChart>
      <c:catAx>
        <c:axId val="48473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84741296"/>
        <c:crosses val="autoZero"/>
        <c:auto val="1"/>
        <c:lblAlgn val="ctr"/>
        <c:lblOffset val="100"/>
        <c:noMultiLvlLbl val="0"/>
      </c:catAx>
      <c:valAx>
        <c:axId val="484741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84739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'PSOA relationship'!$A$24:$A$37</c:f>
              <c:strCache>
                <c:ptCount val="14"/>
                <c:pt idx="0">
                  <c:v>Parent</c:v>
                </c:pt>
                <c:pt idx="1">
                  <c:v>Other community member</c:v>
                </c:pt>
                <c:pt idx="2">
                  <c:v>Former paid staff</c:v>
                </c:pt>
                <c:pt idx="3">
                  <c:v>Sibling</c:v>
                </c:pt>
                <c:pt idx="4">
                  <c:v>Ex-spouse/partner</c:v>
                </c:pt>
                <c:pt idx="5">
                  <c:v>Unknown/not disclosed</c:v>
                </c:pt>
                <c:pt idx="6">
                  <c:v>Other relative</c:v>
                </c:pt>
                <c:pt idx="7">
                  <c:v>Neighbour</c:v>
                </c:pt>
                <c:pt idx="8">
                  <c:v>Grandchild</c:v>
                </c:pt>
                <c:pt idx="9">
                  <c:v>Other</c:v>
                </c:pt>
                <c:pt idx="10">
                  <c:v>Friend</c:v>
                </c:pt>
                <c:pt idx="11">
                  <c:v>Paid staff</c:v>
                </c:pt>
                <c:pt idx="12">
                  <c:v>Spouse/partner</c:v>
                </c:pt>
                <c:pt idx="13">
                  <c:v>Child</c:v>
                </c:pt>
              </c:strCache>
            </c:strRef>
          </c:cat>
          <c:val>
            <c:numRef>
              <c:f>'PSOA relationship'!$B$24:$B$37</c:f>
              <c:numCache>
                <c:formatCode>General</c:formatCode>
                <c:ptCount val="14"/>
                <c:pt idx="0">
                  <c:v>1</c:v>
                </c:pt>
                <c:pt idx="1">
                  <c:v>6</c:v>
                </c:pt>
                <c:pt idx="2">
                  <c:v>8</c:v>
                </c:pt>
                <c:pt idx="3">
                  <c:v>10</c:v>
                </c:pt>
                <c:pt idx="4">
                  <c:v>12</c:v>
                </c:pt>
                <c:pt idx="5">
                  <c:v>12</c:v>
                </c:pt>
                <c:pt idx="6">
                  <c:v>21</c:v>
                </c:pt>
                <c:pt idx="7">
                  <c:v>27</c:v>
                </c:pt>
                <c:pt idx="8">
                  <c:v>29</c:v>
                </c:pt>
                <c:pt idx="9">
                  <c:v>33</c:v>
                </c:pt>
                <c:pt idx="10">
                  <c:v>43</c:v>
                </c:pt>
                <c:pt idx="11">
                  <c:v>55</c:v>
                </c:pt>
                <c:pt idx="12">
                  <c:v>98</c:v>
                </c:pt>
                <c:pt idx="13">
                  <c:v>359</c:v>
                </c:pt>
              </c:numCache>
            </c:numRef>
          </c:val>
          <c:extLst>
            <c:ext xmlns:c16="http://schemas.microsoft.com/office/drawing/2014/chart" uri="{C3380CC4-5D6E-409C-BE32-E72D297353CC}">
              <c16:uniqueId val="{00000000-F66E-494D-8867-909FCEDEA6CF}"/>
            </c:ext>
          </c:extLst>
        </c:ser>
        <c:dLbls>
          <c:dLblPos val="inEnd"/>
          <c:showLegendKey val="0"/>
          <c:showVal val="1"/>
          <c:showCatName val="0"/>
          <c:showSerName val="0"/>
          <c:showPercent val="0"/>
          <c:showBubbleSize val="0"/>
        </c:dLbls>
        <c:gapWidth val="182"/>
        <c:axId val="684331120"/>
        <c:axId val="684332760"/>
      </c:barChart>
      <c:catAx>
        <c:axId val="684331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84332760"/>
        <c:crosses val="autoZero"/>
        <c:auto val="1"/>
        <c:lblAlgn val="ctr"/>
        <c:lblOffset val="100"/>
        <c:noMultiLvlLbl val="0"/>
      </c:catAx>
      <c:valAx>
        <c:axId val="6843327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84331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'PSOA relationship'!$A$5:$A$19</c:f>
              <c:strCache>
                <c:ptCount val="15"/>
                <c:pt idx="0">
                  <c:v>Grandparent</c:v>
                </c:pt>
                <c:pt idx="1">
                  <c:v>Other community member</c:v>
                </c:pt>
                <c:pt idx="2">
                  <c:v>Ex-foster carer</c:v>
                </c:pt>
                <c:pt idx="3">
                  <c:v>Other relative</c:v>
                </c:pt>
                <c:pt idx="4">
                  <c:v>Ex-spouse/partner</c:v>
                </c:pt>
                <c:pt idx="5">
                  <c:v>Former paid staff</c:v>
                </c:pt>
                <c:pt idx="6">
                  <c:v>Neighbour</c:v>
                </c:pt>
                <c:pt idx="7">
                  <c:v>Unknown/not disclosed</c:v>
                </c:pt>
                <c:pt idx="8">
                  <c:v>Other</c:v>
                </c:pt>
                <c:pt idx="9">
                  <c:v>Friend</c:v>
                </c:pt>
                <c:pt idx="10">
                  <c:v>Child</c:v>
                </c:pt>
                <c:pt idx="11">
                  <c:v>Sibling</c:v>
                </c:pt>
                <c:pt idx="12">
                  <c:v>Spouse/partner</c:v>
                </c:pt>
                <c:pt idx="13">
                  <c:v>Paid staff</c:v>
                </c:pt>
                <c:pt idx="14">
                  <c:v>Parent</c:v>
                </c:pt>
              </c:strCache>
            </c:strRef>
          </c:cat>
          <c:val>
            <c:numRef>
              <c:f>'PSOA relationship'!$B$5:$B$19</c:f>
              <c:numCache>
                <c:formatCode>General</c:formatCode>
                <c:ptCount val="15"/>
                <c:pt idx="0">
                  <c:v>1</c:v>
                </c:pt>
                <c:pt idx="1">
                  <c:v>2</c:v>
                </c:pt>
                <c:pt idx="2">
                  <c:v>3</c:v>
                </c:pt>
                <c:pt idx="3">
                  <c:v>4</c:v>
                </c:pt>
                <c:pt idx="4">
                  <c:v>4</c:v>
                </c:pt>
                <c:pt idx="5">
                  <c:v>5</c:v>
                </c:pt>
                <c:pt idx="6">
                  <c:v>6</c:v>
                </c:pt>
                <c:pt idx="7">
                  <c:v>8</c:v>
                </c:pt>
                <c:pt idx="8">
                  <c:v>10</c:v>
                </c:pt>
                <c:pt idx="9">
                  <c:v>14</c:v>
                </c:pt>
                <c:pt idx="10">
                  <c:v>14</c:v>
                </c:pt>
                <c:pt idx="11">
                  <c:v>20</c:v>
                </c:pt>
                <c:pt idx="12">
                  <c:v>22</c:v>
                </c:pt>
                <c:pt idx="13">
                  <c:v>42</c:v>
                </c:pt>
                <c:pt idx="14">
                  <c:v>72</c:v>
                </c:pt>
              </c:numCache>
            </c:numRef>
          </c:val>
          <c:extLst>
            <c:ext xmlns:c16="http://schemas.microsoft.com/office/drawing/2014/chart" uri="{C3380CC4-5D6E-409C-BE32-E72D297353CC}">
              <c16:uniqueId val="{00000000-9C9E-443D-BC63-92D9E3B30E53}"/>
            </c:ext>
          </c:extLst>
        </c:ser>
        <c:dLbls>
          <c:dLblPos val="inEnd"/>
          <c:showLegendKey val="0"/>
          <c:showVal val="1"/>
          <c:showCatName val="0"/>
          <c:showSerName val="0"/>
          <c:showPercent val="0"/>
          <c:showBubbleSize val="0"/>
        </c:dLbls>
        <c:gapWidth val="182"/>
        <c:axId val="684332104"/>
        <c:axId val="684334728"/>
      </c:barChart>
      <c:catAx>
        <c:axId val="684332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84334728"/>
        <c:crosses val="autoZero"/>
        <c:auto val="1"/>
        <c:lblAlgn val="ctr"/>
        <c:lblOffset val="100"/>
        <c:noMultiLvlLbl val="0"/>
      </c:catAx>
      <c:valAx>
        <c:axId val="6843347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84332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'Type of abuse'!$A$17:$A$22</c:f>
              <c:strCache>
                <c:ptCount val="6"/>
                <c:pt idx="0">
                  <c:v>Psychological abuse</c:v>
                </c:pt>
                <c:pt idx="1">
                  <c:v>Financial abuse</c:v>
                </c:pt>
                <c:pt idx="2">
                  <c:v>Neglect</c:v>
                </c:pt>
                <c:pt idx="3">
                  <c:v>Physical abuse</c:v>
                </c:pt>
                <c:pt idx="4">
                  <c:v>Other</c:v>
                </c:pt>
                <c:pt idx="5">
                  <c:v>Sexual abuse</c:v>
                </c:pt>
              </c:strCache>
            </c:strRef>
          </c:cat>
          <c:val>
            <c:numRef>
              <c:f>'Type of abuse'!$B$17:$B$22</c:f>
              <c:numCache>
                <c:formatCode>General</c:formatCode>
                <c:ptCount val="6"/>
                <c:pt idx="0">
                  <c:v>428</c:v>
                </c:pt>
                <c:pt idx="1">
                  <c:v>291</c:v>
                </c:pt>
                <c:pt idx="2">
                  <c:v>198</c:v>
                </c:pt>
                <c:pt idx="3">
                  <c:v>90</c:v>
                </c:pt>
                <c:pt idx="4">
                  <c:v>14</c:v>
                </c:pt>
                <c:pt idx="5">
                  <c:v>4</c:v>
                </c:pt>
              </c:numCache>
            </c:numRef>
          </c:val>
          <c:extLst>
            <c:ext xmlns:c16="http://schemas.microsoft.com/office/drawing/2014/chart" uri="{C3380CC4-5D6E-409C-BE32-E72D297353CC}">
              <c16:uniqueId val="{00000000-472A-46F5-BC3F-5A5827EA8819}"/>
            </c:ext>
          </c:extLst>
        </c:ser>
        <c:dLbls>
          <c:dLblPos val="inEnd"/>
          <c:showLegendKey val="0"/>
          <c:showVal val="1"/>
          <c:showCatName val="0"/>
          <c:showSerName val="0"/>
          <c:showPercent val="0"/>
          <c:showBubbleSize val="0"/>
        </c:dLbls>
        <c:gapWidth val="182"/>
        <c:axId val="522183136"/>
        <c:axId val="522184776"/>
      </c:barChart>
      <c:catAx>
        <c:axId val="522183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2184776"/>
        <c:crosses val="autoZero"/>
        <c:auto val="1"/>
        <c:lblAlgn val="ctr"/>
        <c:lblOffset val="100"/>
        <c:noMultiLvlLbl val="0"/>
      </c:catAx>
      <c:valAx>
        <c:axId val="5221847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2183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'Type of abuse'!$A$6:$A$11</c:f>
              <c:strCache>
                <c:ptCount val="6"/>
                <c:pt idx="0">
                  <c:v>Psychological abuse</c:v>
                </c:pt>
                <c:pt idx="1">
                  <c:v>Financial abuse</c:v>
                </c:pt>
                <c:pt idx="2">
                  <c:v>Neglect</c:v>
                </c:pt>
                <c:pt idx="3">
                  <c:v>Physical abuse</c:v>
                </c:pt>
                <c:pt idx="4">
                  <c:v>Sexual abuse</c:v>
                </c:pt>
                <c:pt idx="5">
                  <c:v>Other</c:v>
                </c:pt>
              </c:strCache>
            </c:strRef>
          </c:cat>
          <c:val>
            <c:numRef>
              <c:f>'Type of abuse'!$B$6:$B$11</c:f>
              <c:numCache>
                <c:formatCode>General</c:formatCode>
                <c:ptCount val="6"/>
                <c:pt idx="0">
                  <c:v>123</c:v>
                </c:pt>
                <c:pt idx="1">
                  <c:v>78</c:v>
                </c:pt>
                <c:pt idx="2">
                  <c:v>77</c:v>
                </c:pt>
                <c:pt idx="3">
                  <c:v>44</c:v>
                </c:pt>
                <c:pt idx="4">
                  <c:v>9</c:v>
                </c:pt>
                <c:pt idx="5">
                  <c:v>9</c:v>
                </c:pt>
              </c:numCache>
            </c:numRef>
          </c:val>
          <c:extLst>
            <c:ext xmlns:c16="http://schemas.microsoft.com/office/drawing/2014/chart" uri="{C3380CC4-5D6E-409C-BE32-E72D297353CC}">
              <c16:uniqueId val="{00000000-0C31-4177-8644-C141C2772785}"/>
            </c:ext>
          </c:extLst>
        </c:ser>
        <c:dLbls>
          <c:dLblPos val="inEnd"/>
          <c:showLegendKey val="0"/>
          <c:showVal val="1"/>
          <c:showCatName val="0"/>
          <c:showSerName val="0"/>
          <c:showPercent val="0"/>
          <c:showBubbleSize val="0"/>
        </c:dLbls>
        <c:gapWidth val="182"/>
        <c:axId val="522184120"/>
        <c:axId val="522181496"/>
      </c:barChart>
      <c:catAx>
        <c:axId val="522184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2181496"/>
        <c:crosses val="autoZero"/>
        <c:auto val="1"/>
        <c:lblAlgn val="ctr"/>
        <c:lblOffset val="100"/>
        <c:noMultiLvlLbl val="0"/>
      </c:catAx>
      <c:valAx>
        <c:axId val="522181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2184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stacked"/>
        <c:varyColors val="0"/>
        <c:ser>
          <c:idx val="0"/>
          <c:order val="0"/>
          <c:tx>
            <c:strRef>
              <c:f>'Number of cases'!$C$11</c:f>
              <c:strCache>
                <c:ptCount val="1"/>
                <c:pt idx="0">
                  <c:v>Enquiries</c:v>
                </c:pt>
              </c:strCache>
            </c:strRef>
          </c:tx>
          <c:spPr>
            <a:solidFill>
              <a:schemeClr val="accent2">
                <a:shade val="7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'Number of cases'!$D$10:$M$10</c:f>
              <c:strCache>
                <c:ptCount val="9"/>
                <c:pt idx="0">
                  <c:v>Oct-Dec 2020</c:v>
                </c:pt>
                <c:pt idx="1">
                  <c:v>Jan-Mar 2021</c:v>
                </c:pt>
                <c:pt idx="2">
                  <c:v>Apr-June 2021</c:v>
                </c:pt>
                <c:pt idx="3">
                  <c:v>July-Sept 2021</c:v>
                </c:pt>
                <c:pt idx="4">
                  <c:v>Oct-Dec 2021</c:v>
                </c:pt>
                <c:pt idx="5">
                  <c:v>Jan-Mar 2022</c:v>
                </c:pt>
                <c:pt idx="6">
                  <c:v>Apr-June 2022</c:v>
                </c:pt>
                <c:pt idx="7">
                  <c:v>July-Sept 2022</c:v>
                </c:pt>
                <c:pt idx="8">
                  <c:v>Oct-Dec 2022</c:v>
                </c:pt>
              </c:strCache>
            </c:strRef>
          </c:cat>
          <c:val>
            <c:numRef>
              <c:f>'Number of cases'!$D$11:$M$11</c:f>
              <c:numCache>
                <c:formatCode>General</c:formatCode>
                <c:ptCount val="9"/>
                <c:pt idx="0">
                  <c:v>280</c:v>
                </c:pt>
                <c:pt idx="1">
                  <c:v>314</c:v>
                </c:pt>
                <c:pt idx="2">
                  <c:v>394</c:v>
                </c:pt>
                <c:pt idx="3">
                  <c:v>344</c:v>
                </c:pt>
                <c:pt idx="4">
                  <c:v>243</c:v>
                </c:pt>
                <c:pt idx="5">
                  <c:v>360</c:v>
                </c:pt>
                <c:pt idx="6">
                  <c:v>365</c:v>
                </c:pt>
                <c:pt idx="7">
                  <c:v>358</c:v>
                </c:pt>
                <c:pt idx="8">
                  <c:v>243</c:v>
                </c:pt>
              </c:numCache>
            </c:numRef>
          </c:val>
          <c:extLst>
            <c:ext xmlns:c16="http://schemas.microsoft.com/office/drawing/2014/chart" uri="{C3380CC4-5D6E-409C-BE32-E72D297353CC}">
              <c16:uniqueId val="{00000000-04DB-42F4-919F-92FCBBC041FD}"/>
            </c:ext>
          </c:extLst>
        </c:ser>
        <c:ser>
          <c:idx val="1"/>
          <c:order val="1"/>
          <c:tx>
            <c:strRef>
              <c:f>'Number of cases'!$C$12</c:f>
              <c:strCache>
                <c:ptCount val="1"/>
                <c:pt idx="0">
                  <c:v>Reports</c:v>
                </c:pt>
              </c:strCache>
            </c:strRef>
          </c:tx>
          <c:spPr>
            <a:solidFill>
              <a:schemeClr val="accent2">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'Number of cases'!$D$10:$M$10</c:f>
              <c:strCache>
                <c:ptCount val="9"/>
                <c:pt idx="0">
                  <c:v>Oct-Dec 2020</c:v>
                </c:pt>
                <c:pt idx="1">
                  <c:v>Jan-Mar 2021</c:v>
                </c:pt>
                <c:pt idx="2">
                  <c:v>Apr-June 2021</c:v>
                </c:pt>
                <c:pt idx="3">
                  <c:v>July-Sept 2021</c:v>
                </c:pt>
                <c:pt idx="4">
                  <c:v>Oct-Dec 2021</c:v>
                </c:pt>
                <c:pt idx="5">
                  <c:v>Jan-Mar 2022</c:v>
                </c:pt>
                <c:pt idx="6">
                  <c:v>Apr-June 2022</c:v>
                </c:pt>
                <c:pt idx="7">
                  <c:v>July-Sept 2022</c:v>
                </c:pt>
                <c:pt idx="8">
                  <c:v>Oct-Dec 2022</c:v>
                </c:pt>
              </c:strCache>
            </c:strRef>
          </c:cat>
          <c:val>
            <c:numRef>
              <c:f>'Number of cases'!$D$12:$M$12</c:f>
              <c:numCache>
                <c:formatCode>General</c:formatCode>
                <c:ptCount val="9"/>
                <c:pt idx="0">
                  <c:v>762</c:v>
                </c:pt>
                <c:pt idx="1">
                  <c:v>1025</c:v>
                </c:pt>
                <c:pt idx="2">
                  <c:v>943</c:v>
                </c:pt>
                <c:pt idx="3">
                  <c:v>938</c:v>
                </c:pt>
                <c:pt idx="4">
                  <c:v>942</c:v>
                </c:pt>
                <c:pt idx="5">
                  <c:v>1113</c:v>
                </c:pt>
                <c:pt idx="6">
                  <c:v>984</c:v>
                </c:pt>
                <c:pt idx="7">
                  <c:v>1115</c:v>
                </c:pt>
                <c:pt idx="8">
                  <c:v>941</c:v>
                </c:pt>
              </c:numCache>
            </c:numRef>
          </c:val>
          <c:extLst>
            <c:ext xmlns:c16="http://schemas.microsoft.com/office/drawing/2014/chart" uri="{C3380CC4-5D6E-409C-BE32-E72D297353CC}">
              <c16:uniqueId val="{00000001-04DB-42F4-919F-92FCBBC041FD}"/>
            </c:ext>
          </c:extLst>
        </c:ser>
        <c:dLbls>
          <c:dLblPos val="ctr"/>
          <c:showLegendKey val="0"/>
          <c:showVal val="1"/>
          <c:showCatName val="0"/>
          <c:showSerName val="0"/>
          <c:showPercent val="0"/>
          <c:showBubbleSize val="0"/>
        </c:dLbls>
        <c:gapWidth val="150"/>
        <c:overlap val="100"/>
        <c:axId val="569013736"/>
        <c:axId val="569013408"/>
      </c:barChart>
      <c:catAx>
        <c:axId val="569013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69013408"/>
        <c:crosses val="autoZero"/>
        <c:auto val="1"/>
        <c:lblAlgn val="ctr"/>
        <c:lblOffset val="100"/>
        <c:noMultiLvlLbl val="0"/>
      </c:catAx>
      <c:valAx>
        <c:axId val="569013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69013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Cohort!$A$4:$A$6</c:f>
              <c:strCache>
                <c:ptCount val="3"/>
                <c:pt idx="0">
                  <c:v>Older people</c:v>
                </c:pt>
                <c:pt idx="1">
                  <c:v>Adults with disability</c:v>
                </c:pt>
                <c:pt idx="2">
                  <c:v>Total</c:v>
                </c:pt>
              </c:strCache>
            </c:strRef>
          </c:cat>
          <c:val>
            <c:numRef>
              <c:f>Cohort!$B$4:$B$6</c:f>
              <c:numCache>
                <c:formatCode>General</c:formatCode>
                <c:ptCount val="3"/>
                <c:pt idx="0">
                  <c:v>714</c:v>
                </c:pt>
                <c:pt idx="1">
                  <c:v>227</c:v>
                </c:pt>
                <c:pt idx="2">
                  <c:v>941</c:v>
                </c:pt>
              </c:numCache>
            </c:numRef>
          </c:val>
          <c:extLst>
            <c:ext xmlns:c16="http://schemas.microsoft.com/office/drawing/2014/chart" uri="{C3380CC4-5D6E-409C-BE32-E72D297353CC}">
              <c16:uniqueId val="{00000000-A947-41CC-8334-B3BFEE5438EA}"/>
            </c:ext>
          </c:extLst>
        </c:ser>
        <c:dLbls>
          <c:dLblPos val="inEnd"/>
          <c:showLegendKey val="0"/>
          <c:showVal val="1"/>
          <c:showCatName val="0"/>
          <c:showSerName val="0"/>
          <c:showPercent val="0"/>
          <c:showBubbleSize val="0"/>
        </c:dLbls>
        <c:gapWidth val="219"/>
        <c:overlap val="-27"/>
        <c:axId val="518948216"/>
        <c:axId val="518945592"/>
      </c:barChart>
      <c:catAx>
        <c:axId val="518948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8945592"/>
        <c:crosses val="autoZero"/>
        <c:auto val="1"/>
        <c:lblAlgn val="ctr"/>
        <c:lblOffset val="100"/>
        <c:noMultiLvlLbl val="0"/>
      </c:catAx>
      <c:valAx>
        <c:axId val="518945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8948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Gender!$B$15</c:f>
              <c:strCache>
                <c:ptCount val="1"/>
                <c:pt idx="0">
                  <c:v>Adults with disability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Gender!$A$16:$A$17</c:f>
              <c:strCache>
                <c:ptCount val="2"/>
                <c:pt idx="0">
                  <c:v>Female</c:v>
                </c:pt>
                <c:pt idx="1">
                  <c:v>Male</c:v>
                </c:pt>
              </c:strCache>
            </c:strRef>
          </c:cat>
          <c:val>
            <c:numRef>
              <c:f>Gender!$B$16:$B$17</c:f>
              <c:numCache>
                <c:formatCode>General</c:formatCode>
                <c:ptCount val="2"/>
                <c:pt idx="0" formatCode="#,##0">
                  <c:v>125</c:v>
                </c:pt>
                <c:pt idx="1">
                  <c:v>102</c:v>
                </c:pt>
              </c:numCache>
            </c:numRef>
          </c:val>
          <c:extLst>
            <c:ext xmlns:c16="http://schemas.microsoft.com/office/drawing/2014/chart" uri="{C3380CC4-5D6E-409C-BE32-E72D297353CC}">
              <c16:uniqueId val="{00000000-5250-4833-81A9-6E10B6289023}"/>
            </c:ext>
          </c:extLst>
        </c:ser>
        <c:ser>
          <c:idx val="1"/>
          <c:order val="1"/>
          <c:tx>
            <c:strRef>
              <c:f>Gender!$C$15</c:f>
              <c:strCache>
                <c:ptCount val="1"/>
                <c:pt idx="0">
                  <c:v>Older people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Gender!$A$16:$A$17</c:f>
              <c:strCache>
                <c:ptCount val="2"/>
                <c:pt idx="0">
                  <c:v>Female</c:v>
                </c:pt>
                <c:pt idx="1">
                  <c:v>Male</c:v>
                </c:pt>
              </c:strCache>
            </c:strRef>
          </c:cat>
          <c:val>
            <c:numRef>
              <c:f>Gender!$C$16:$C$17</c:f>
              <c:numCache>
                <c:formatCode>General</c:formatCode>
                <c:ptCount val="2"/>
                <c:pt idx="0">
                  <c:v>466</c:v>
                </c:pt>
                <c:pt idx="1">
                  <c:v>248</c:v>
                </c:pt>
              </c:numCache>
            </c:numRef>
          </c:val>
          <c:extLst>
            <c:ext xmlns:c16="http://schemas.microsoft.com/office/drawing/2014/chart" uri="{C3380CC4-5D6E-409C-BE32-E72D297353CC}">
              <c16:uniqueId val="{00000001-5250-4833-81A9-6E10B6289023}"/>
            </c:ext>
          </c:extLst>
        </c:ser>
        <c:dLbls>
          <c:dLblPos val="inEnd"/>
          <c:showLegendKey val="0"/>
          <c:showVal val="1"/>
          <c:showCatName val="0"/>
          <c:showSerName val="0"/>
          <c:showPercent val="0"/>
          <c:showBubbleSize val="0"/>
        </c:dLbls>
        <c:gapWidth val="182"/>
        <c:axId val="545986408"/>
        <c:axId val="545985096"/>
      </c:barChart>
      <c:catAx>
        <c:axId val="545986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5985096"/>
        <c:crosses val="autoZero"/>
        <c:auto val="1"/>
        <c:lblAlgn val="ctr"/>
        <c:lblOffset val="100"/>
        <c:noMultiLvlLbl val="0"/>
      </c:catAx>
      <c:valAx>
        <c:axId val="5459850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5986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Age!$A$20:$A$31</c:f>
              <c:strCache>
                <c:ptCount val="12"/>
                <c:pt idx="0">
                  <c:v>50-54</c:v>
                </c:pt>
                <c:pt idx="1">
                  <c:v>55-59</c:v>
                </c:pt>
                <c:pt idx="2">
                  <c:v>60-64</c:v>
                </c:pt>
                <c:pt idx="3">
                  <c:v>65-69</c:v>
                </c:pt>
                <c:pt idx="4">
                  <c:v>70-74</c:v>
                </c:pt>
                <c:pt idx="5">
                  <c:v>75-79</c:v>
                </c:pt>
                <c:pt idx="6">
                  <c:v>80-84</c:v>
                </c:pt>
                <c:pt idx="7">
                  <c:v>85-89</c:v>
                </c:pt>
                <c:pt idx="8">
                  <c:v>90-94</c:v>
                </c:pt>
                <c:pt idx="9">
                  <c:v>95-99</c:v>
                </c:pt>
                <c:pt idx="10">
                  <c:v>100+</c:v>
                </c:pt>
                <c:pt idx="11">
                  <c:v>Not known</c:v>
                </c:pt>
              </c:strCache>
            </c:strRef>
          </c:cat>
          <c:val>
            <c:numRef>
              <c:f>Age!$B$20:$B$31</c:f>
              <c:numCache>
                <c:formatCode>General</c:formatCode>
                <c:ptCount val="12"/>
                <c:pt idx="0">
                  <c:v>0</c:v>
                </c:pt>
                <c:pt idx="1">
                  <c:v>1</c:v>
                </c:pt>
                <c:pt idx="2">
                  <c:v>3</c:v>
                </c:pt>
                <c:pt idx="3">
                  <c:v>47</c:v>
                </c:pt>
                <c:pt idx="4">
                  <c:v>89</c:v>
                </c:pt>
                <c:pt idx="5">
                  <c:v>112</c:v>
                </c:pt>
                <c:pt idx="6">
                  <c:v>135</c:v>
                </c:pt>
                <c:pt idx="7">
                  <c:v>121</c:v>
                </c:pt>
                <c:pt idx="8">
                  <c:v>86</c:v>
                </c:pt>
                <c:pt idx="9">
                  <c:v>23</c:v>
                </c:pt>
                <c:pt idx="10">
                  <c:v>1</c:v>
                </c:pt>
                <c:pt idx="11">
                  <c:v>96</c:v>
                </c:pt>
              </c:numCache>
            </c:numRef>
          </c:val>
          <c:extLst>
            <c:ext xmlns:c16="http://schemas.microsoft.com/office/drawing/2014/chart" uri="{C3380CC4-5D6E-409C-BE32-E72D297353CC}">
              <c16:uniqueId val="{00000000-CBD5-42AB-A31B-DD134D49D751}"/>
            </c:ext>
          </c:extLst>
        </c:ser>
        <c:dLbls>
          <c:dLblPos val="inEnd"/>
          <c:showLegendKey val="0"/>
          <c:showVal val="1"/>
          <c:showCatName val="0"/>
          <c:showSerName val="0"/>
          <c:showPercent val="0"/>
          <c:showBubbleSize val="0"/>
        </c:dLbls>
        <c:gapWidth val="219"/>
        <c:overlap val="-27"/>
        <c:axId val="644167152"/>
        <c:axId val="644165840"/>
      </c:barChart>
      <c:catAx>
        <c:axId val="644167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44165840"/>
        <c:crosses val="autoZero"/>
        <c:auto val="1"/>
        <c:lblAlgn val="ctr"/>
        <c:lblOffset val="100"/>
        <c:noMultiLvlLbl val="0"/>
      </c:catAx>
      <c:valAx>
        <c:axId val="644165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44167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Age!$A$4:$A$13</c:f>
              <c:strCache>
                <c:ptCount val="10"/>
                <c:pt idx="0">
                  <c:v>18-24</c:v>
                </c:pt>
                <c:pt idx="1">
                  <c:v>25-29</c:v>
                </c:pt>
                <c:pt idx="2">
                  <c:v>30-34</c:v>
                </c:pt>
                <c:pt idx="3">
                  <c:v>35-39</c:v>
                </c:pt>
                <c:pt idx="4">
                  <c:v>40-44</c:v>
                </c:pt>
                <c:pt idx="5">
                  <c:v>45-49</c:v>
                </c:pt>
                <c:pt idx="6">
                  <c:v>50-54</c:v>
                </c:pt>
                <c:pt idx="7">
                  <c:v>55-59</c:v>
                </c:pt>
                <c:pt idx="8">
                  <c:v>60-64</c:v>
                </c:pt>
                <c:pt idx="9">
                  <c:v>Not known</c:v>
                </c:pt>
              </c:strCache>
            </c:strRef>
          </c:cat>
          <c:val>
            <c:numRef>
              <c:f>Age!$B$4:$B$13</c:f>
              <c:numCache>
                <c:formatCode>General</c:formatCode>
                <c:ptCount val="10"/>
                <c:pt idx="0">
                  <c:v>45</c:v>
                </c:pt>
                <c:pt idx="1">
                  <c:v>19</c:v>
                </c:pt>
                <c:pt idx="2">
                  <c:v>13</c:v>
                </c:pt>
                <c:pt idx="3">
                  <c:v>9</c:v>
                </c:pt>
                <c:pt idx="4">
                  <c:v>19</c:v>
                </c:pt>
                <c:pt idx="5">
                  <c:v>12</c:v>
                </c:pt>
                <c:pt idx="6">
                  <c:v>16</c:v>
                </c:pt>
                <c:pt idx="7">
                  <c:v>18</c:v>
                </c:pt>
                <c:pt idx="8">
                  <c:v>22</c:v>
                </c:pt>
                <c:pt idx="9">
                  <c:v>54</c:v>
                </c:pt>
              </c:numCache>
            </c:numRef>
          </c:val>
          <c:extLst>
            <c:ext xmlns:c16="http://schemas.microsoft.com/office/drawing/2014/chart" uri="{C3380CC4-5D6E-409C-BE32-E72D297353CC}">
              <c16:uniqueId val="{00000000-A542-49A6-8D93-95F6170D860D}"/>
            </c:ext>
          </c:extLst>
        </c:ser>
        <c:dLbls>
          <c:dLblPos val="inEnd"/>
          <c:showLegendKey val="0"/>
          <c:showVal val="1"/>
          <c:showCatName val="0"/>
          <c:showSerName val="0"/>
          <c:showPercent val="0"/>
          <c:showBubbleSize val="0"/>
        </c:dLbls>
        <c:gapWidth val="219"/>
        <c:overlap val="-27"/>
        <c:axId val="540723624"/>
        <c:axId val="653535200"/>
      </c:barChart>
      <c:catAx>
        <c:axId val="540723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53535200"/>
        <c:crosses val="autoZero"/>
        <c:auto val="1"/>
        <c:lblAlgn val="ctr"/>
        <c:lblOffset val="100"/>
        <c:noMultiLvlLbl val="0"/>
      </c:catAx>
      <c:valAx>
        <c:axId val="653535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0723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Sheet3!$A$3:$A$18</c:f>
              <c:strCache>
                <c:ptCount val="16"/>
                <c:pt idx="0">
                  <c:v>Hunter</c:v>
                </c:pt>
                <c:pt idx="1">
                  <c:v>SW Sydney</c:v>
                </c:pt>
                <c:pt idx="2">
                  <c:v>Northern Sydney</c:v>
                </c:pt>
                <c:pt idx="3">
                  <c:v>SE Sydney</c:v>
                </c:pt>
                <c:pt idx="4">
                  <c:v>Illawarra-Shoalhaven</c:v>
                </c:pt>
                <c:pt idx="5">
                  <c:v>Nepean Blue Mtns</c:v>
                </c:pt>
                <c:pt idx="6">
                  <c:v>Northern NSW</c:v>
                </c:pt>
                <c:pt idx="7">
                  <c:v>Central Coast</c:v>
                </c:pt>
                <c:pt idx="8">
                  <c:v>Western Sydney</c:v>
                </c:pt>
                <c:pt idx="9">
                  <c:v>Murrumbidgee</c:v>
                </c:pt>
                <c:pt idx="10">
                  <c:v>Western NSW</c:v>
                </c:pt>
                <c:pt idx="11">
                  <c:v>Mid North Coast</c:v>
                </c:pt>
                <c:pt idx="12">
                  <c:v>Sydney</c:v>
                </c:pt>
                <c:pt idx="13">
                  <c:v>New England</c:v>
                </c:pt>
                <c:pt idx="14">
                  <c:v>Southern NSW</c:v>
                </c:pt>
                <c:pt idx="15">
                  <c:v>Far West</c:v>
                </c:pt>
              </c:strCache>
            </c:strRef>
          </c:cat>
          <c:val>
            <c:numRef>
              <c:f>Sheet3!$B$3:$B$18</c:f>
              <c:numCache>
                <c:formatCode>General</c:formatCode>
                <c:ptCount val="16"/>
                <c:pt idx="0">
                  <c:v>72</c:v>
                </c:pt>
                <c:pt idx="1">
                  <c:v>69</c:v>
                </c:pt>
                <c:pt idx="2">
                  <c:v>52</c:v>
                </c:pt>
                <c:pt idx="3">
                  <c:v>52</c:v>
                </c:pt>
                <c:pt idx="4">
                  <c:v>49</c:v>
                </c:pt>
                <c:pt idx="5">
                  <c:v>41</c:v>
                </c:pt>
                <c:pt idx="6">
                  <c:v>41</c:v>
                </c:pt>
                <c:pt idx="7">
                  <c:v>40</c:v>
                </c:pt>
                <c:pt idx="8">
                  <c:v>40</c:v>
                </c:pt>
                <c:pt idx="9">
                  <c:v>31</c:v>
                </c:pt>
                <c:pt idx="10">
                  <c:v>30</c:v>
                </c:pt>
                <c:pt idx="11">
                  <c:v>26</c:v>
                </c:pt>
                <c:pt idx="12">
                  <c:v>24</c:v>
                </c:pt>
                <c:pt idx="13">
                  <c:v>17</c:v>
                </c:pt>
                <c:pt idx="14">
                  <c:v>10</c:v>
                </c:pt>
                <c:pt idx="15">
                  <c:v>1</c:v>
                </c:pt>
              </c:numCache>
            </c:numRef>
          </c:val>
          <c:extLst>
            <c:ext xmlns:c16="http://schemas.microsoft.com/office/drawing/2014/chart" uri="{C3380CC4-5D6E-409C-BE32-E72D297353CC}">
              <c16:uniqueId val="{00000000-1223-49CB-9A24-FB7C51223EC0}"/>
            </c:ext>
          </c:extLst>
        </c:ser>
        <c:dLbls>
          <c:dLblPos val="inEnd"/>
          <c:showLegendKey val="0"/>
          <c:showVal val="1"/>
          <c:showCatName val="0"/>
          <c:showSerName val="0"/>
          <c:showPercent val="0"/>
          <c:showBubbleSize val="0"/>
        </c:dLbls>
        <c:gapWidth val="182"/>
        <c:axId val="440906928"/>
        <c:axId val="440907584"/>
      </c:barChart>
      <c:catAx>
        <c:axId val="440906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0907584"/>
        <c:crosses val="autoZero"/>
        <c:auto val="1"/>
        <c:lblAlgn val="ctr"/>
        <c:lblOffset val="100"/>
        <c:noMultiLvlLbl val="0"/>
      </c:catAx>
      <c:valAx>
        <c:axId val="4409075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0906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aseline="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'Reporter relationship'!$A$21:$A$33</c:f>
              <c:strCache>
                <c:ptCount val="13"/>
                <c:pt idx="0">
                  <c:v>Advocate</c:v>
                </c:pt>
                <c:pt idx="1">
                  <c:v>Parent</c:v>
                </c:pt>
                <c:pt idx="2">
                  <c:v>Unknown or not disclosed</c:v>
                </c:pt>
                <c:pt idx="3">
                  <c:v>Spouse or partner</c:v>
                </c:pt>
                <c:pt idx="4">
                  <c:v>Sibling</c:v>
                </c:pt>
                <c:pt idx="5">
                  <c:v>Other</c:v>
                </c:pt>
                <c:pt idx="6">
                  <c:v>Grandchild</c:v>
                </c:pt>
                <c:pt idx="7">
                  <c:v>Neighbour</c:v>
                </c:pt>
                <c:pt idx="8">
                  <c:v>Friend</c:v>
                </c:pt>
                <c:pt idx="9">
                  <c:v>Other relative</c:v>
                </c:pt>
                <c:pt idx="10">
                  <c:v>Person experiencing abuse</c:v>
                </c:pt>
                <c:pt idx="11">
                  <c:v>Child</c:v>
                </c:pt>
                <c:pt idx="12">
                  <c:v>Paid worker</c:v>
                </c:pt>
              </c:strCache>
            </c:strRef>
          </c:cat>
          <c:val>
            <c:numRef>
              <c:f>'Reporter relationship'!$B$21:$B$33</c:f>
              <c:numCache>
                <c:formatCode>General</c:formatCode>
                <c:ptCount val="13"/>
                <c:pt idx="0">
                  <c:v>2</c:v>
                </c:pt>
                <c:pt idx="1">
                  <c:v>2</c:v>
                </c:pt>
                <c:pt idx="2">
                  <c:v>5</c:v>
                </c:pt>
                <c:pt idx="3">
                  <c:v>7</c:v>
                </c:pt>
                <c:pt idx="4">
                  <c:v>13</c:v>
                </c:pt>
                <c:pt idx="5">
                  <c:v>25</c:v>
                </c:pt>
                <c:pt idx="6">
                  <c:v>26</c:v>
                </c:pt>
                <c:pt idx="7">
                  <c:v>29</c:v>
                </c:pt>
                <c:pt idx="8">
                  <c:v>34</c:v>
                </c:pt>
                <c:pt idx="9">
                  <c:v>40</c:v>
                </c:pt>
                <c:pt idx="10">
                  <c:v>93</c:v>
                </c:pt>
                <c:pt idx="11">
                  <c:v>190</c:v>
                </c:pt>
                <c:pt idx="12">
                  <c:v>248</c:v>
                </c:pt>
              </c:numCache>
            </c:numRef>
          </c:val>
          <c:extLst>
            <c:ext xmlns:c16="http://schemas.microsoft.com/office/drawing/2014/chart" uri="{C3380CC4-5D6E-409C-BE32-E72D297353CC}">
              <c16:uniqueId val="{00000000-5333-4A2F-AD93-A564384082DE}"/>
            </c:ext>
          </c:extLst>
        </c:ser>
        <c:dLbls>
          <c:dLblPos val="inEnd"/>
          <c:showLegendKey val="0"/>
          <c:showVal val="1"/>
          <c:showCatName val="0"/>
          <c:showSerName val="0"/>
          <c:showPercent val="0"/>
          <c:showBubbleSize val="0"/>
        </c:dLbls>
        <c:gapWidth val="182"/>
        <c:axId val="564559656"/>
        <c:axId val="564554736"/>
      </c:barChart>
      <c:catAx>
        <c:axId val="564559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64554736"/>
        <c:crosses val="autoZero"/>
        <c:auto val="1"/>
        <c:lblAlgn val="ctr"/>
        <c:lblOffset val="100"/>
        <c:noMultiLvlLbl val="0"/>
      </c:catAx>
      <c:valAx>
        <c:axId val="564554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64559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'Reporter relationship'!$A$5:$A$16</c:f>
              <c:strCache>
                <c:ptCount val="12"/>
                <c:pt idx="0">
                  <c:v>Advocate</c:v>
                </c:pt>
                <c:pt idx="1">
                  <c:v>Spouse or partner</c:v>
                </c:pt>
                <c:pt idx="2">
                  <c:v>Neighbour</c:v>
                </c:pt>
                <c:pt idx="3">
                  <c:v>Child</c:v>
                </c:pt>
                <c:pt idx="4">
                  <c:v>Friend</c:v>
                </c:pt>
                <c:pt idx="5">
                  <c:v>Parent</c:v>
                </c:pt>
                <c:pt idx="6">
                  <c:v>Sibling</c:v>
                </c:pt>
                <c:pt idx="7">
                  <c:v>Unknown or not disclosed.3</c:v>
                </c:pt>
                <c:pt idx="8">
                  <c:v>Other relative</c:v>
                </c:pt>
                <c:pt idx="9">
                  <c:v>Person experiencing abuse</c:v>
                </c:pt>
                <c:pt idx="10">
                  <c:v>Other</c:v>
                </c:pt>
                <c:pt idx="11">
                  <c:v>Paid worker</c:v>
                </c:pt>
              </c:strCache>
            </c:strRef>
          </c:cat>
          <c:val>
            <c:numRef>
              <c:f>'Reporter relationship'!$B$5:$B$16</c:f>
              <c:numCache>
                <c:formatCode>General</c:formatCode>
                <c:ptCount val="12"/>
                <c:pt idx="0">
                  <c:v>1</c:v>
                </c:pt>
                <c:pt idx="1">
                  <c:v>2</c:v>
                </c:pt>
                <c:pt idx="2">
                  <c:v>3</c:v>
                </c:pt>
                <c:pt idx="3">
                  <c:v>5</c:v>
                </c:pt>
                <c:pt idx="4">
                  <c:v>5</c:v>
                </c:pt>
                <c:pt idx="5">
                  <c:v>5</c:v>
                </c:pt>
                <c:pt idx="6">
                  <c:v>5</c:v>
                </c:pt>
                <c:pt idx="7">
                  <c:v>7</c:v>
                </c:pt>
                <c:pt idx="8">
                  <c:v>8</c:v>
                </c:pt>
                <c:pt idx="9">
                  <c:v>20</c:v>
                </c:pt>
                <c:pt idx="10">
                  <c:v>26</c:v>
                </c:pt>
                <c:pt idx="11">
                  <c:v>140</c:v>
                </c:pt>
              </c:numCache>
            </c:numRef>
          </c:val>
          <c:extLst>
            <c:ext xmlns:c16="http://schemas.microsoft.com/office/drawing/2014/chart" uri="{C3380CC4-5D6E-409C-BE32-E72D297353CC}">
              <c16:uniqueId val="{00000000-8C41-4957-99AE-65F5D4773660}"/>
            </c:ext>
          </c:extLst>
        </c:ser>
        <c:dLbls>
          <c:dLblPos val="inEnd"/>
          <c:showLegendKey val="0"/>
          <c:showVal val="1"/>
          <c:showCatName val="0"/>
          <c:showSerName val="0"/>
          <c:showPercent val="0"/>
          <c:showBubbleSize val="0"/>
        </c:dLbls>
        <c:gapWidth val="182"/>
        <c:axId val="576845064"/>
        <c:axId val="576851952"/>
      </c:barChart>
      <c:catAx>
        <c:axId val="576845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76851952"/>
        <c:crosses val="autoZero"/>
        <c:auto val="1"/>
        <c:lblAlgn val="ctr"/>
        <c:lblOffset val="100"/>
        <c:noMultiLvlLbl val="0"/>
      </c:catAx>
      <c:valAx>
        <c:axId val="5768519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76845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10.xml><?xml version="1.0" encoding="utf-8"?>
<cs:colorStyle xmlns:cs="http://schemas.microsoft.com/office/drawing/2012/chartStyle" xmlns:a="http://schemas.openxmlformats.org/drawingml/2006/main" meth="withinLinear" id="15">
  <a:schemeClr val="accent2"/>
</cs:colorStyle>
</file>

<file path=word/charts/colors11.xml><?xml version="1.0" encoding="utf-8"?>
<cs:colorStyle xmlns:cs="http://schemas.microsoft.com/office/drawing/2012/chartStyle" xmlns:a="http://schemas.openxmlformats.org/drawingml/2006/main" meth="withinLinear" id="15">
  <a:schemeClr val="accent2"/>
</cs:colorStyle>
</file>

<file path=word/charts/colors12.xml><?xml version="1.0" encoding="utf-8"?>
<cs:colorStyle xmlns:cs="http://schemas.microsoft.com/office/drawing/2012/chartStyle" xmlns:a="http://schemas.openxmlformats.org/drawingml/2006/main" meth="withinLinear" id="15">
  <a:schemeClr val="accent2"/>
</cs:colorStyle>
</file>

<file path=word/charts/colors13.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5">
  <a:schemeClr val="accent2"/>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withinLinear" id="15">
  <a:schemeClr val="accent2"/>
</cs:colorStyle>
</file>

<file path=word/charts/colors8.xml><?xml version="1.0" encoding="utf-8"?>
<cs:colorStyle xmlns:cs="http://schemas.microsoft.com/office/drawing/2012/chartStyle" xmlns:a="http://schemas.openxmlformats.org/drawingml/2006/main" meth="withinLinear" id="15">
  <a:schemeClr val="accent2"/>
</cs:colorStyle>
</file>

<file path=word/charts/colors9.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Slice">
  <a:themeElements>
    <a:clrScheme name="Custom 1">
      <a:dk1>
        <a:sysClr val="windowText" lastClr="000000"/>
      </a:dk1>
      <a:lt1>
        <a:sysClr val="window" lastClr="FFFFFF"/>
      </a:lt1>
      <a:dk2>
        <a:srgbClr val="146194"/>
      </a:dk2>
      <a:lt2>
        <a:srgbClr val="76DBF4"/>
      </a:lt2>
      <a:accent1>
        <a:srgbClr val="052F61"/>
      </a:accent1>
      <a:accent2>
        <a:srgbClr val="0D88A7"/>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946EF-6420-45EE-B63C-4B16BD75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2008</Words>
  <Characters>11450</Characters>
  <Application>Microsoft Office Word</Application>
  <DocSecurity>12</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McKenzie</dc:creator>
  <cp:keywords/>
  <dc:description/>
  <cp:lastModifiedBy>Renee Kastanias</cp:lastModifiedBy>
  <cp:revision>2</cp:revision>
  <cp:lastPrinted>2022-04-10T12:42:00Z</cp:lastPrinted>
  <dcterms:created xsi:type="dcterms:W3CDTF">2023-02-13T22:05:00Z</dcterms:created>
  <dcterms:modified xsi:type="dcterms:W3CDTF">2023-02-13T22:05:00Z</dcterms:modified>
</cp:coreProperties>
</file>