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EFB1" w14:textId="6FD01923" w:rsidR="00F0254D" w:rsidRDefault="00F0254D" w:rsidP="007A4BC6">
      <w:pPr>
        <w:pStyle w:val="Heading1"/>
        <w:spacing w:before="0" w:after="0"/>
        <w:jc w:val="center"/>
        <w:rPr>
          <w:rFonts w:ascii="Public Sans" w:hAnsi="Public Sans"/>
          <w:b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1" layoutInCell="1" allowOverlap="1" wp14:anchorId="1D614AA1" wp14:editId="399D982F">
            <wp:simplePos x="0" y="0"/>
            <wp:positionH relativeFrom="page">
              <wp:posOffset>-65405</wp:posOffset>
            </wp:positionH>
            <wp:positionV relativeFrom="page">
              <wp:posOffset>-26035</wp:posOffset>
            </wp:positionV>
            <wp:extent cx="7602855" cy="1292225"/>
            <wp:effectExtent l="0" t="0" r="0" b="3175"/>
            <wp:wrapTopAndBottom/>
            <wp:docPr id="11" name="Picture 11" descr="Ageing and Disability Commission Logo | NSW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geing and Disability Commission Logo | NSW Government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39C0D" w14:textId="3C2A1D75" w:rsidR="00075101" w:rsidRPr="00F31B6B" w:rsidRDefault="006B5165" w:rsidP="007A4BC6">
      <w:pPr>
        <w:pStyle w:val="Heading1"/>
        <w:spacing w:before="0" w:after="0"/>
        <w:jc w:val="center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>Ageing and Disability Commission d</w:t>
      </w:r>
      <w:r w:rsidR="00075101" w:rsidRPr="00F31B6B">
        <w:rPr>
          <w:rFonts w:ascii="Public Sans" w:hAnsi="Public Sans"/>
          <w:b/>
        </w:rPr>
        <w:t>ata</w:t>
      </w:r>
    </w:p>
    <w:p w14:paraId="1D56824E" w14:textId="308CAB9F" w:rsidR="00014357" w:rsidRPr="00F31B6B" w:rsidRDefault="005B6EFC" w:rsidP="00314504">
      <w:pPr>
        <w:pStyle w:val="Heading1"/>
        <w:spacing w:before="120" w:after="0"/>
        <w:jc w:val="center"/>
        <w:rPr>
          <w:rFonts w:ascii="Public Sans" w:hAnsi="Public Sans"/>
          <w:b/>
          <w:sz w:val="28"/>
        </w:rPr>
      </w:pPr>
      <w:r w:rsidRPr="00F31B6B">
        <w:rPr>
          <w:rFonts w:ascii="Public Sans" w:hAnsi="Public Sans"/>
          <w:b/>
          <w:sz w:val="28"/>
        </w:rPr>
        <w:t>202</w:t>
      </w:r>
      <w:r w:rsidR="00D95973" w:rsidRPr="00F31B6B">
        <w:rPr>
          <w:rFonts w:ascii="Public Sans" w:hAnsi="Public Sans"/>
          <w:b/>
          <w:sz w:val="28"/>
        </w:rPr>
        <w:t>3</w:t>
      </w:r>
      <w:r w:rsidR="006B5165" w:rsidRPr="00F31B6B">
        <w:rPr>
          <w:rFonts w:ascii="Public Sans" w:hAnsi="Public Sans"/>
          <w:b/>
          <w:sz w:val="28"/>
        </w:rPr>
        <w:t xml:space="preserve"> </w:t>
      </w:r>
      <w:r w:rsidR="00573A7C" w:rsidRPr="00F31B6B">
        <w:rPr>
          <w:rFonts w:ascii="Public Sans" w:hAnsi="Public Sans"/>
          <w:b/>
          <w:sz w:val="28"/>
        </w:rPr>
        <w:t xml:space="preserve">– </w:t>
      </w:r>
      <w:r w:rsidR="006B5165" w:rsidRPr="00F31B6B">
        <w:rPr>
          <w:rFonts w:ascii="Public Sans" w:hAnsi="Public Sans"/>
          <w:b/>
          <w:sz w:val="28"/>
        </w:rPr>
        <w:t>202</w:t>
      </w:r>
      <w:r w:rsidR="00D95973" w:rsidRPr="00F31B6B">
        <w:rPr>
          <w:rFonts w:ascii="Public Sans" w:hAnsi="Public Sans"/>
          <w:b/>
          <w:sz w:val="28"/>
        </w:rPr>
        <w:t>4</w:t>
      </w:r>
    </w:p>
    <w:p w14:paraId="1AD1AD2D" w14:textId="77777777" w:rsidR="00203CDD" w:rsidRPr="00F31B6B" w:rsidRDefault="00203CDD" w:rsidP="007A4BC6">
      <w:pPr>
        <w:pStyle w:val="NoSpacing"/>
        <w:rPr>
          <w:rFonts w:ascii="Public Sans" w:hAnsi="Public Sans" w:cs="Segoe UI"/>
          <w:sz w:val="20"/>
        </w:rPr>
      </w:pPr>
    </w:p>
    <w:p w14:paraId="78ED4BB8" w14:textId="77777777" w:rsidR="002C240E" w:rsidRPr="00F31B6B" w:rsidRDefault="002C240E" w:rsidP="007A4BC6">
      <w:pPr>
        <w:pStyle w:val="NoSpacing"/>
        <w:rPr>
          <w:rFonts w:ascii="Public Sans" w:hAnsi="Public Sans" w:cs="Segoe UI"/>
          <w:sz w:val="20"/>
        </w:rPr>
      </w:pPr>
    </w:p>
    <w:p w14:paraId="427ED0C6" w14:textId="77777777" w:rsidR="006B5165" w:rsidRPr="00F31B6B" w:rsidRDefault="00E134D4" w:rsidP="00E134D4">
      <w:pPr>
        <w:pStyle w:val="Heading2"/>
        <w:numPr>
          <w:ilvl w:val="0"/>
          <w:numId w:val="10"/>
        </w:numPr>
        <w:spacing w:before="0"/>
        <w:ind w:left="426" w:hanging="426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>Number of</w:t>
      </w:r>
      <w:r w:rsidR="006B5165" w:rsidRPr="00F31B6B">
        <w:rPr>
          <w:rFonts w:ascii="Public Sans" w:hAnsi="Public Sans"/>
          <w:b/>
        </w:rPr>
        <w:t xml:space="preserve"> </w:t>
      </w:r>
      <w:r w:rsidRPr="00F31B6B">
        <w:rPr>
          <w:rFonts w:ascii="Public Sans" w:hAnsi="Public Sans"/>
          <w:b/>
        </w:rPr>
        <w:t xml:space="preserve">calls, </w:t>
      </w:r>
      <w:r w:rsidR="006B5165" w:rsidRPr="00F31B6B">
        <w:rPr>
          <w:rFonts w:ascii="Public Sans" w:hAnsi="Public Sans"/>
          <w:b/>
        </w:rPr>
        <w:t xml:space="preserve">enquiries and reports </w:t>
      </w:r>
    </w:p>
    <w:p w14:paraId="161C0A62" w14:textId="77777777" w:rsidR="006B5165" w:rsidRPr="00F31B6B" w:rsidRDefault="006B5165" w:rsidP="007A4BC6">
      <w:pPr>
        <w:spacing w:after="0" w:line="240" w:lineRule="auto"/>
        <w:rPr>
          <w:rFonts w:ascii="Public Sans" w:hAnsi="Public Sans" w:cs="Segoe UI"/>
          <w:sz w:val="20"/>
        </w:rPr>
      </w:pPr>
    </w:p>
    <w:p w14:paraId="4CC70BE5" w14:textId="77777777" w:rsidR="00E024F6" w:rsidRPr="00F31B6B" w:rsidRDefault="00E024F6" w:rsidP="00E024F6">
      <w:pPr>
        <w:pStyle w:val="Heading3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>1.1</w:t>
      </w:r>
      <w:r w:rsidRPr="00F31B6B">
        <w:rPr>
          <w:rFonts w:ascii="Public Sans" w:hAnsi="Public Sans"/>
          <w:b/>
        </w:rPr>
        <w:tab/>
        <w:t>Number of calls to the Ageing and Disability Abuse Helpline</w:t>
      </w:r>
    </w:p>
    <w:p w14:paraId="0B20362C" w14:textId="77777777" w:rsidR="00E024F6" w:rsidRPr="00F31B6B" w:rsidRDefault="00E024F6" w:rsidP="00E024F6">
      <w:pPr>
        <w:spacing w:after="0" w:line="240" w:lineRule="auto"/>
        <w:rPr>
          <w:rFonts w:ascii="Public Sans" w:hAnsi="Public Sans" w:cs="Segoe UI"/>
          <w:sz w:val="20"/>
        </w:rPr>
      </w:pPr>
    </w:p>
    <w:p w14:paraId="6DCAF1A0" w14:textId="1AE70366" w:rsidR="003D02E4" w:rsidRPr="00F31B6B" w:rsidRDefault="005B6EFC" w:rsidP="00DE7A39">
      <w:pPr>
        <w:pStyle w:val="Body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hAnsi="Public Sans" w:cs="Segoe UI"/>
        </w:rPr>
        <w:t>In 202</w:t>
      </w:r>
      <w:r w:rsidR="00D4468E" w:rsidRPr="00F31B6B">
        <w:rPr>
          <w:rFonts w:ascii="Public Sans" w:hAnsi="Public Sans" w:cs="Segoe UI"/>
        </w:rPr>
        <w:t>3</w:t>
      </w:r>
      <w:r w:rsidR="0009795C" w:rsidRPr="00F31B6B">
        <w:rPr>
          <w:rFonts w:ascii="Public Sans" w:hAnsi="Public Sans" w:cs="Segoe UI"/>
        </w:rPr>
        <w:t>-</w:t>
      </w:r>
      <w:r w:rsidRPr="00F31B6B">
        <w:rPr>
          <w:rFonts w:ascii="Public Sans" w:hAnsi="Public Sans" w:cs="Segoe UI"/>
        </w:rPr>
        <w:t>2</w:t>
      </w:r>
      <w:r w:rsidR="00D4468E" w:rsidRPr="00F31B6B">
        <w:rPr>
          <w:rFonts w:ascii="Public Sans" w:hAnsi="Public Sans" w:cs="Segoe UI"/>
        </w:rPr>
        <w:t>4</w:t>
      </w:r>
      <w:r w:rsidRPr="00F31B6B">
        <w:rPr>
          <w:rFonts w:ascii="Public Sans" w:hAnsi="Public Sans" w:cs="Segoe UI"/>
        </w:rPr>
        <w:t xml:space="preserve">, </w:t>
      </w:r>
      <w:r w:rsidR="003D02E4" w:rsidRPr="00F31B6B">
        <w:rPr>
          <w:rFonts w:ascii="Public Sans" w:hAnsi="Public Sans" w:cs="Segoe UI"/>
        </w:rPr>
        <w:t xml:space="preserve">the Ageing and Disability Abuse Helpline received </w:t>
      </w:r>
      <w:r w:rsidRPr="00F31B6B">
        <w:rPr>
          <w:rFonts w:ascii="Public Sans" w:hAnsi="Public Sans" w:cs="Segoe UI"/>
          <w:b/>
        </w:rPr>
        <w:t>1</w:t>
      </w:r>
      <w:r w:rsidR="005037FC" w:rsidRPr="00F31B6B">
        <w:rPr>
          <w:rFonts w:ascii="Public Sans" w:hAnsi="Public Sans" w:cs="Segoe UI"/>
          <w:b/>
        </w:rPr>
        <w:t>7</w:t>
      </w:r>
      <w:r w:rsidR="00016EA9" w:rsidRPr="00F31B6B">
        <w:rPr>
          <w:rFonts w:ascii="Public Sans" w:hAnsi="Public Sans" w:cs="Segoe UI"/>
          <w:b/>
        </w:rPr>
        <w:t>,</w:t>
      </w:r>
      <w:r w:rsidR="00420E44">
        <w:rPr>
          <w:rFonts w:ascii="Public Sans" w:hAnsi="Public Sans" w:cs="Segoe UI"/>
          <w:b/>
        </w:rPr>
        <w:t>342</w:t>
      </w:r>
      <w:r w:rsidR="003D02E4" w:rsidRPr="00F31B6B">
        <w:rPr>
          <w:rFonts w:ascii="Public Sans" w:hAnsi="Public Sans" w:cs="Segoe UI"/>
          <w:b/>
        </w:rPr>
        <w:t xml:space="preserve"> calls</w:t>
      </w:r>
      <w:r w:rsidR="003D02E4" w:rsidRPr="00F31B6B">
        <w:rPr>
          <w:rFonts w:ascii="Public Sans" w:hAnsi="Public Sans" w:cs="Segoe UI"/>
        </w:rPr>
        <w:t>.</w:t>
      </w:r>
      <w:r w:rsidR="003D02E4" w:rsidRPr="00F31B6B">
        <w:rPr>
          <w:rFonts w:ascii="Public Sans" w:eastAsia="Helvetica" w:hAnsi="Public Sans" w:cs="Segoe UI"/>
        </w:rPr>
        <w:t xml:space="preserve"> </w:t>
      </w:r>
      <w:r w:rsidR="00490A4B" w:rsidRPr="00F31B6B">
        <w:rPr>
          <w:rFonts w:ascii="Public Sans" w:eastAsia="Helvetica" w:hAnsi="Public Sans" w:cs="Segoe UI"/>
        </w:rPr>
        <w:t xml:space="preserve">This was a </w:t>
      </w:r>
      <w:r w:rsidR="009827FD" w:rsidRPr="00F31B6B">
        <w:rPr>
          <w:rFonts w:ascii="Public Sans" w:eastAsia="Helvetica" w:hAnsi="Public Sans" w:cs="Segoe UI"/>
          <w:b/>
        </w:rPr>
        <w:t>2</w:t>
      </w:r>
      <w:r w:rsidR="005D0244">
        <w:rPr>
          <w:rFonts w:ascii="Public Sans" w:eastAsia="Helvetica" w:hAnsi="Public Sans" w:cs="Segoe UI"/>
          <w:b/>
        </w:rPr>
        <w:t>4</w:t>
      </w:r>
      <w:r w:rsidR="00490A4B" w:rsidRPr="00F31B6B">
        <w:rPr>
          <w:rFonts w:ascii="Public Sans" w:eastAsia="Helvetica" w:hAnsi="Public Sans" w:cs="Segoe UI"/>
          <w:b/>
        </w:rPr>
        <w:t>% increase</w:t>
      </w:r>
      <w:r w:rsidR="00490A4B" w:rsidRPr="00F31B6B">
        <w:rPr>
          <w:rFonts w:ascii="Public Sans" w:eastAsia="Helvetica" w:hAnsi="Public Sans" w:cs="Segoe UI"/>
        </w:rPr>
        <w:t xml:space="preserve"> in calls on the previous year (1</w:t>
      </w:r>
      <w:r w:rsidR="009827FD" w:rsidRPr="00F31B6B">
        <w:rPr>
          <w:rFonts w:ascii="Public Sans" w:eastAsia="Helvetica" w:hAnsi="Public Sans" w:cs="Segoe UI"/>
        </w:rPr>
        <w:t>4</w:t>
      </w:r>
      <w:r w:rsidR="00490A4B" w:rsidRPr="00F31B6B">
        <w:rPr>
          <w:rFonts w:ascii="Public Sans" w:eastAsia="Helvetica" w:hAnsi="Public Sans" w:cs="Segoe UI"/>
        </w:rPr>
        <w:t>,</w:t>
      </w:r>
      <w:r w:rsidR="009827FD" w:rsidRPr="00F31B6B">
        <w:rPr>
          <w:rFonts w:ascii="Public Sans" w:eastAsia="Helvetica" w:hAnsi="Public Sans" w:cs="Segoe UI"/>
        </w:rPr>
        <w:t>025</w:t>
      </w:r>
      <w:r w:rsidR="00490A4B" w:rsidRPr="00F31B6B">
        <w:rPr>
          <w:rFonts w:ascii="Public Sans" w:eastAsia="Helvetica" w:hAnsi="Public Sans" w:cs="Segoe UI"/>
        </w:rPr>
        <w:t xml:space="preserve">). </w:t>
      </w:r>
      <w:r w:rsidR="00C014CE" w:rsidRPr="00F31B6B">
        <w:rPr>
          <w:rFonts w:ascii="Public Sans" w:eastAsia="Helvetica" w:hAnsi="Public Sans" w:cs="Segoe UI"/>
        </w:rPr>
        <w:t>Between 2019</w:t>
      </w:r>
      <w:r w:rsidR="0009795C" w:rsidRPr="00F31B6B">
        <w:rPr>
          <w:rFonts w:ascii="Public Sans" w:eastAsia="Helvetica" w:hAnsi="Public Sans" w:cs="Segoe UI"/>
        </w:rPr>
        <w:t>-</w:t>
      </w:r>
      <w:r w:rsidR="00C014CE" w:rsidRPr="00F31B6B">
        <w:rPr>
          <w:rFonts w:ascii="Public Sans" w:eastAsia="Helvetica" w:hAnsi="Public Sans" w:cs="Segoe UI"/>
        </w:rPr>
        <w:t>20 and 202</w:t>
      </w:r>
      <w:r w:rsidR="00D95973" w:rsidRPr="00F31B6B">
        <w:rPr>
          <w:rFonts w:ascii="Public Sans" w:eastAsia="Helvetica" w:hAnsi="Public Sans" w:cs="Segoe UI"/>
        </w:rPr>
        <w:t>3</w:t>
      </w:r>
      <w:r w:rsidR="0009795C" w:rsidRPr="00F31B6B">
        <w:rPr>
          <w:rFonts w:ascii="Public Sans" w:eastAsia="Helvetica" w:hAnsi="Public Sans" w:cs="Segoe UI"/>
        </w:rPr>
        <w:t>-</w:t>
      </w:r>
      <w:r w:rsidR="00C014CE" w:rsidRPr="00F31B6B">
        <w:rPr>
          <w:rFonts w:ascii="Public Sans" w:eastAsia="Helvetica" w:hAnsi="Public Sans" w:cs="Segoe UI"/>
        </w:rPr>
        <w:t>2</w:t>
      </w:r>
      <w:r w:rsidR="00D95973" w:rsidRPr="00F31B6B">
        <w:rPr>
          <w:rFonts w:ascii="Public Sans" w:eastAsia="Helvetica" w:hAnsi="Public Sans" w:cs="Segoe UI"/>
        </w:rPr>
        <w:t>4</w:t>
      </w:r>
      <w:r w:rsidR="00C014CE" w:rsidRPr="00F31B6B">
        <w:rPr>
          <w:rFonts w:ascii="Public Sans" w:eastAsia="Helvetica" w:hAnsi="Public Sans" w:cs="Segoe UI"/>
        </w:rPr>
        <w:t xml:space="preserve">, </w:t>
      </w:r>
      <w:r w:rsidR="00490A4B" w:rsidRPr="00F31B6B">
        <w:rPr>
          <w:rFonts w:ascii="Public Sans" w:eastAsia="Helvetica" w:hAnsi="Public Sans" w:cs="Segoe UI"/>
        </w:rPr>
        <w:t xml:space="preserve">calls to the Helpline </w:t>
      </w:r>
      <w:r w:rsidR="00490A4B" w:rsidRPr="00F31B6B">
        <w:rPr>
          <w:rFonts w:ascii="Public Sans" w:eastAsia="Helvetica" w:hAnsi="Public Sans" w:cs="Segoe UI"/>
          <w:b/>
        </w:rPr>
        <w:t xml:space="preserve">increased by </w:t>
      </w:r>
      <w:r w:rsidR="002D5B54" w:rsidRPr="00F31B6B">
        <w:rPr>
          <w:rFonts w:ascii="Public Sans" w:eastAsia="Helvetica" w:hAnsi="Public Sans" w:cs="Segoe UI"/>
          <w:b/>
        </w:rPr>
        <w:t>6</w:t>
      </w:r>
      <w:r w:rsidR="0033367E">
        <w:rPr>
          <w:rFonts w:ascii="Public Sans" w:eastAsia="Helvetica" w:hAnsi="Public Sans" w:cs="Segoe UI"/>
          <w:b/>
        </w:rPr>
        <w:t>6</w:t>
      </w:r>
      <w:r w:rsidR="002D5B54" w:rsidRPr="00F31B6B">
        <w:rPr>
          <w:rFonts w:ascii="Public Sans" w:eastAsia="Helvetica" w:hAnsi="Public Sans" w:cs="Segoe UI"/>
          <w:b/>
        </w:rPr>
        <w:t>.</w:t>
      </w:r>
      <w:r w:rsidR="0033367E">
        <w:rPr>
          <w:rFonts w:ascii="Public Sans" w:eastAsia="Helvetica" w:hAnsi="Public Sans" w:cs="Segoe UI"/>
          <w:b/>
        </w:rPr>
        <w:t>1</w:t>
      </w:r>
      <w:r w:rsidR="00490A4B" w:rsidRPr="00F31B6B">
        <w:rPr>
          <w:rFonts w:ascii="Public Sans" w:eastAsia="Helvetica" w:hAnsi="Public Sans" w:cs="Segoe UI"/>
          <w:b/>
        </w:rPr>
        <w:t>%</w:t>
      </w:r>
      <w:r w:rsidR="00490A4B" w:rsidRPr="00F31B6B">
        <w:rPr>
          <w:rFonts w:ascii="Public Sans" w:eastAsia="Helvetica" w:hAnsi="Public Sans" w:cs="Segoe UI"/>
        </w:rPr>
        <w:t xml:space="preserve">. </w:t>
      </w:r>
    </w:p>
    <w:p w14:paraId="1DA47772" w14:textId="77777777" w:rsidR="003D02E4" w:rsidRPr="00F31B6B" w:rsidRDefault="003D02E4" w:rsidP="00314504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 xml:space="preserve"> </w:t>
      </w:r>
    </w:p>
    <w:p w14:paraId="49870EAE" w14:textId="36AA338E" w:rsidR="003D02E4" w:rsidRDefault="003D02E4" w:rsidP="002C240E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  <w:b/>
          <w:sz w:val="18"/>
        </w:rPr>
      </w:pPr>
      <w:r w:rsidRPr="00F31B6B">
        <w:rPr>
          <w:rFonts w:ascii="Public Sans" w:eastAsia="Helvetica" w:hAnsi="Public Sans" w:cs="Segoe UI"/>
          <w:b/>
          <w:sz w:val="18"/>
        </w:rPr>
        <w:t xml:space="preserve">Figure 1: Number of calls received by the Ageing and Disability Abuse Helpline, by quarter, </w:t>
      </w:r>
      <w:r w:rsidR="00115243" w:rsidRPr="00F31B6B">
        <w:rPr>
          <w:rFonts w:ascii="Public Sans" w:eastAsia="Helvetica" w:hAnsi="Public Sans" w:cs="Segoe UI"/>
          <w:b/>
          <w:sz w:val="18"/>
        </w:rPr>
        <w:t>July</w:t>
      </w:r>
      <w:r w:rsidRPr="00F31B6B">
        <w:rPr>
          <w:rFonts w:ascii="Public Sans" w:eastAsia="Helvetica" w:hAnsi="Public Sans" w:cs="Segoe UI"/>
          <w:b/>
          <w:sz w:val="18"/>
        </w:rPr>
        <w:t xml:space="preserve"> 20</w:t>
      </w:r>
      <w:r w:rsidR="008A0A98" w:rsidRPr="00F31B6B">
        <w:rPr>
          <w:rFonts w:ascii="Public Sans" w:eastAsia="Helvetica" w:hAnsi="Public Sans" w:cs="Segoe UI"/>
          <w:b/>
          <w:sz w:val="18"/>
        </w:rPr>
        <w:t>2</w:t>
      </w:r>
      <w:r w:rsidR="00EA67E5" w:rsidRPr="00F31B6B">
        <w:rPr>
          <w:rFonts w:ascii="Public Sans" w:eastAsia="Helvetica" w:hAnsi="Public Sans" w:cs="Segoe UI"/>
          <w:b/>
          <w:sz w:val="18"/>
        </w:rPr>
        <w:t>2</w:t>
      </w:r>
      <w:r w:rsidRPr="00F31B6B">
        <w:rPr>
          <w:rFonts w:ascii="Public Sans" w:eastAsia="Helvetica" w:hAnsi="Public Sans" w:cs="Segoe UI"/>
          <w:b/>
          <w:sz w:val="18"/>
        </w:rPr>
        <w:t xml:space="preserve"> – </w:t>
      </w:r>
      <w:r w:rsidR="006E0FAB" w:rsidRPr="00F31B6B">
        <w:rPr>
          <w:rFonts w:ascii="Public Sans" w:eastAsia="Helvetica" w:hAnsi="Public Sans" w:cs="Segoe UI"/>
          <w:b/>
          <w:sz w:val="18"/>
        </w:rPr>
        <w:t>June</w:t>
      </w:r>
      <w:r w:rsidRPr="00F31B6B">
        <w:rPr>
          <w:rFonts w:ascii="Public Sans" w:eastAsia="Helvetica" w:hAnsi="Public Sans" w:cs="Segoe UI"/>
          <w:b/>
          <w:sz w:val="18"/>
        </w:rPr>
        <w:t xml:space="preserve"> 202</w:t>
      </w:r>
      <w:r w:rsidR="00EA67E5" w:rsidRPr="00F31B6B">
        <w:rPr>
          <w:rFonts w:ascii="Public Sans" w:eastAsia="Helvetica" w:hAnsi="Public Sans" w:cs="Segoe UI"/>
          <w:b/>
          <w:sz w:val="18"/>
        </w:rPr>
        <w:t>4</w:t>
      </w:r>
    </w:p>
    <w:p w14:paraId="067206F9" w14:textId="59E7D14B" w:rsidR="00F90324" w:rsidRPr="00F31B6B" w:rsidRDefault="00F90324" w:rsidP="002C240E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  <w:b/>
          <w:sz w:val="18"/>
        </w:rPr>
      </w:pPr>
      <w:r>
        <w:rPr>
          <w:noProof/>
        </w:rPr>
        <w:drawing>
          <wp:inline distT="0" distB="0" distL="0" distR="0" wp14:anchorId="2D550789" wp14:editId="0AC80307">
            <wp:extent cx="5976620" cy="2117725"/>
            <wp:effectExtent l="0" t="0" r="5080" b="1587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83E7638D-5304-34CF-799E-289BC556A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6D7F26" w14:textId="77777777" w:rsidR="00126D1C" w:rsidRPr="00F31B6B" w:rsidRDefault="00126D1C" w:rsidP="007A4BC6">
      <w:pPr>
        <w:pStyle w:val="Body"/>
        <w:widowControl w:val="0"/>
        <w:spacing w:after="0" w:line="240" w:lineRule="auto"/>
        <w:rPr>
          <w:rFonts w:ascii="Public Sans" w:hAnsi="Public Sans"/>
          <w:noProof/>
        </w:rPr>
      </w:pPr>
    </w:p>
    <w:p w14:paraId="00B38C41" w14:textId="7BC74A8B" w:rsidR="000A649A" w:rsidRDefault="000A649A" w:rsidP="000A649A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31B6B">
        <w:rPr>
          <w:rFonts w:ascii="Public Sans" w:eastAsia="Helvetica" w:hAnsi="Public Sans" w:cs="Segoe UI"/>
          <w:b/>
          <w:sz w:val="18"/>
        </w:rPr>
        <w:t>Figure 2: Number of calls received by the Helpline, by quarter, July 2019 – June 202</w:t>
      </w:r>
      <w:r w:rsidR="0087591B" w:rsidRPr="00F31B6B">
        <w:rPr>
          <w:rFonts w:ascii="Public Sans" w:eastAsia="Helvetica" w:hAnsi="Public Sans" w:cs="Segoe UI"/>
          <w:b/>
          <w:sz w:val="18"/>
        </w:rPr>
        <w:t>4</w:t>
      </w:r>
    </w:p>
    <w:p w14:paraId="03185CFA" w14:textId="4AA084BD" w:rsidR="00126D1C" w:rsidRPr="0016449E" w:rsidRDefault="00633C59" w:rsidP="007A4BC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>
        <w:rPr>
          <w:noProof/>
        </w:rPr>
        <w:drawing>
          <wp:inline distT="0" distB="0" distL="0" distR="0" wp14:anchorId="16DE764E" wp14:editId="0A5AB3BA">
            <wp:extent cx="5976620" cy="2798445"/>
            <wp:effectExtent l="0" t="0" r="5080" b="190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96C4C850-A0DC-88F2-3961-F0A9C3946F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8B3A19C" w14:textId="77777777" w:rsidR="00203CDD" w:rsidRDefault="00203CDD" w:rsidP="0001435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425E9E3D" w14:textId="77777777" w:rsidR="00F0254D" w:rsidRDefault="00F0254D" w:rsidP="0001435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1B2C339A" w14:textId="77777777" w:rsidR="00F0254D" w:rsidRDefault="00F0254D" w:rsidP="0001435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4E2ED24E" w14:textId="77777777" w:rsidR="00F0254D" w:rsidRPr="00F31B6B" w:rsidRDefault="00F0254D" w:rsidP="00014357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7E4BCB40" w14:textId="77777777" w:rsidR="00AB5515" w:rsidRPr="00F31B6B" w:rsidRDefault="00AB5515" w:rsidP="00AB5515">
      <w:pPr>
        <w:pStyle w:val="Heading3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>1.2</w:t>
      </w:r>
      <w:r w:rsidRPr="00F31B6B">
        <w:rPr>
          <w:rFonts w:ascii="Public Sans" w:hAnsi="Public Sans"/>
          <w:b/>
        </w:rPr>
        <w:tab/>
      </w:r>
      <w:r w:rsidR="00014357" w:rsidRPr="00F31B6B">
        <w:rPr>
          <w:rFonts w:ascii="Public Sans" w:hAnsi="Public Sans"/>
          <w:b/>
        </w:rPr>
        <w:t>Number of reports and enquiries</w:t>
      </w:r>
    </w:p>
    <w:p w14:paraId="3CC14538" w14:textId="7CF195E4" w:rsidR="003D02E4" w:rsidRPr="00F31B6B" w:rsidRDefault="00285933" w:rsidP="00DE7A39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>In 202</w:t>
      </w:r>
      <w:r w:rsidR="00333111" w:rsidRPr="00F31B6B">
        <w:rPr>
          <w:rFonts w:ascii="Public Sans" w:eastAsia="Helvetica" w:hAnsi="Public Sans" w:cs="Segoe UI"/>
        </w:rPr>
        <w:t>3</w:t>
      </w:r>
      <w:r w:rsidRPr="00F31B6B">
        <w:rPr>
          <w:rFonts w:ascii="Public Sans" w:eastAsia="Helvetica" w:hAnsi="Public Sans" w:cs="Segoe UI"/>
        </w:rPr>
        <w:t>-2</w:t>
      </w:r>
      <w:r w:rsidR="00333111" w:rsidRPr="00F31B6B">
        <w:rPr>
          <w:rFonts w:ascii="Public Sans" w:eastAsia="Helvetica" w:hAnsi="Public Sans" w:cs="Segoe UI"/>
        </w:rPr>
        <w:t>4</w:t>
      </w:r>
      <w:r w:rsidRPr="00F31B6B">
        <w:rPr>
          <w:rFonts w:ascii="Public Sans" w:eastAsia="Helvetica" w:hAnsi="Public Sans" w:cs="Segoe UI"/>
        </w:rPr>
        <w:t>,</w:t>
      </w:r>
      <w:r w:rsidR="00DE7A39" w:rsidRPr="00F31B6B">
        <w:rPr>
          <w:rFonts w:ascii="Public Sans" w:eastAsia="Helvetica" w:hAnsi="Public Sans" w:cs="Segoe UI"/>
        </w:rPr>
        <w:t xml:space="preserve"> t</w:t>
      </w:r>
      <w:r w:rsidR="003D02E4" w:rsidRPr="00F31B6B">
        <w:rPr>
          <w:rFonts w:ascii="Public Sans" w:eastAsia="Helvetica" w:hAnsi="Public Sans" w:cs="Segoe UI"/>
        </w:rPr>
        <w:t xml:space="preserve">he ADC received </w:t>
      </w:r>
      <w:r w:rsidR="005B6C35" w:rsidRPr="00F31B6B">
        <w:rPr>
          <w:rFonts w:ascii="Public Sans" w:eastAsia="Helvetica" w:hAnsi="Public Sans" w:cs="Segoe UI"/>
          <w:b/>
        </w:rPr>
        <w:t>5,</w:t>
      </w:r>
      <w:r w:rsidR="00333111" w:rsidRPr="00F31B6B">
        <w:rPr>
          <w:rFonts w:ascii="Public Sans" w:eastAsia="Helvetica" w:hAnsi="Public Sans" w:cs="Segoe UI"/>
          <w:b/>
        </w:rPr>
        <w:t>70</w:t>
      </w:r>
      <w:r w:rsidR="0023448B" w:rsidRPr="00F31B6B">
        <w:rPr>
          <w:rFonts w:ascii="Public Sans" w:eastAsia="Helvetica" w:hAnsi="Public Sans" w:cs="Segoe UI"/>
          <w:b/>
        </w:rPr>
        <w:t>7</w:t>
      </w:r>
      <w:r w:rsidR="003D02E4" w:rsidRPr="00F31B6B">
        <w:rPr>
          <w:rFonts w:ascii="Public Sans" w:eastAsia="Helvetica" w:hAnsi="Public Sans" w:cs="Segoe UI"/>
          <w:b/>
        </w:rPr>
        <w:t xml:space="preserve"> matters</w:t>
      </w:r>
      <w:r w:rsidR="003D02E4" w:rsidRPr="00F31B6B">
        <w:rPr>
          <w:rFonts w:ascii="Public Sans" w:eastAsia="Helvetica" w:hAnsi="Public Sans" w:cs="Segoe UI"/>
        </w:rPr>
        <w:t>, comprising:</w:t>
      </w:r>
    </w:p>
    <w:p w14:paraId="5D894FA2" w14:textId="630867BA" w:rsidR="003D02E4" w:rsidRPr="00F31B6B" w:rsidRDefault="000F24F8" w:rsidP="00DE7A39">
      <w:pPr>
        <w:pStyle w:val="Body"/>
        <w:widowControl w:val="0"/>
        <w:numPr>
          <w:ilvl w:val="0"/>
          <w:numId w:val="39"/>
        </w:numPr>
        <w:spacing w:before="120" w:after="0" w:line="240" w:lineRule="auto"/>
        <w:ind w:left="709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  <w:b/>
        </w:rPr>
        <w:t>4</w:t>
      </w:r>
      <w:r w:rsidR="00285933" w:rsidRPr="00F31B6B">
        <w:rPr>
          <w:rFonts w:ascii="Public Sans" w:eastAsia="Helvetica" w:hAnsi="Public Sans" w:cs="Segoe UI"/>
          <w:b/>
        </w:rPr>
        <w:t>,</w:t>
      </w:r>
      <w:r w:rsidR="00F73D9D" w:rsidRPr="00F31B6B">
        <w:rPr>
          <w:rFonts w:ascii="Public Sans" w:eastAsia="Helvetica" w:hAnsi="Public Sans" w:cs="Segoe UI"/>
          <w:b/>
        </w:rPr>
        <w:t>806</w:t>
      </w:r>
      <w:r w:rsidR="006B15BD" w:rsidRPr="00F31B6B">
        <w:rPr>
          <w:rFonts w:ascii="Public Sans" w:eastAsia="Helvetica" w:hAnsi="Public Sans" w:cs="Segoe UI"/>
          <w:b/>
        </w:rPr>
        <w:t xml:space="preserve"> </w:t>
      </w:r>
      <w:r w:rsidR="003D02E4" w:rsidRPr="00F31B6B">
        <w:rPr>
          <w:rFonts w:ascii="Public Sans" w:eastAsia="Helvetica" w:hAnsi="Public Sans" w:cs="Segoe UI"/>
          <w:b/>
        </w:rPr>
        <w:t>reports</w:t>
      </w:r>
      <w:r w:rsidR="003D02E4" w:rsidRPr="00F31B6B">
        <w:rPr>
          <w:rFonts w:ascii="Public Sans" w:eastAsia="Helvetica" w:hAnsi="Public Sans" w:cs="Segoe UI"/>
        </w:rPr>
        <w:t xml:space="preserve"> under s</w:t>
      </w:r>
      <w:r w:rsidR="00E9710B" w:rsidRPr="00F31B6B">
        <w:rPr>
          <w:rFonts w:ascii="Public Sans" w:eastAsia="Helvetica" w:hAnsi="Public Sans" w:cs="Segoe UI"/>
        </w:rPr>
        <w:t xml:space="preserve">ection </w:t>
      </w:r>
      <w:r w:rsidR="003D02E4" w:rsidRPr="00F31B6B">
        <w:rPr>
          <w:rFonts w:ascii="Public Sans" w:eastAsia="Helvetica" w:hAnsi="Public Sans" w:cs="Segoe UI"/>
        </w:rPr>
        <w:t xml:space="preserve">13 of the </w:t>
      </w:r>
      <w:r w:rsidR="003D02E4" w:rsidRPr="00F31B6B">
        <w:rPr>
          <w:rFonts w:ascii="Public Sans" w:eastAsia="Helvetica" w:hAnsi="Public Sans" w:cs="Segoe UI"/>
          <w:i/>
        </w:rPr>
        <w:t>A</w:t>
      </w:r>
      <w:r w:rsidR="00E9710B" w:rsidRPr="00F31B6B">
        <w:rPr>
          <w:rFonts w:ascii="Public Sans" w:eastAsia="Helvetica" w:hAnsi="Public Sans" w:cs="Segoe UI"/>
          <w:i/>
        </w:rPr>
        <w:t xml:space="preserve">geing and Disability Commissioner </w:t>
      </w:r>
      <w:r w:rsidR="003D02E4" w:rsidRPr="00F31B6B">
        <w:rPr>
          <w:rFonts w:ascii="Public Sans" w:eastAsia="Helvetica" w:hAnsi="Public Sans" w:cs="Segoe UI"/>
          <w:i/>
        </w:rPr>
        <w:t>Act</w:t>
      </w:r>
      <w:r w:rsidR="00E9710B" w:rsidRPr="00F31B6B">
        <w:rPr>
          <w:rFonts w:ascii="Public Sans" w:eastAsia="Helvetica" w:hAnsi="Public Sans" w:cs="Segoe UI"/>
          <w:i/>
        </w:rPr>
        <w:t xml:space="preserve"> 2019</w:t>
      </w:r>
    </w:p>
    <w:p w14:paraId="77C0CEF8" w14:textId="1ACB2099" w:rsidR="003D02E4" w:rsidRPr="00F31B6B" w:rsidRDefault="00FE0F05" w:rsidP="00DE7A39">
      <w:pPr>
        <w:pStyle w:val="Body"/>
        <w:widowControl w:val="0"/>
        <w:numPr>
          <w:ilvl w:val="0"/>
          <w:numId w:val="39"/>
        </w:numPr>
        <w:spacing w:before="120" w:after="0" w:line="240" w:lineRule="auto"/>
        <w:ind w:left="709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  <w:b/>
        </w:rPr>
        <w:t>90</w:t>
      </w:r>
      <w:r w:rsidR="00004796" w:rsidRPr="00F31B6B">
        <w:rPr>
          <w:rFonts w:ascii="Public Sans" w:eastAsia="Helvetica" w:hAnsi="Public Sans" w:cs="Segoe UI"/>
          <w:b/>
        </w:rPr>
        <w:t>1</w:t>
      </w:r>
      <w:r w:rsidR="003D02E4" w:rsidRPr="00F31B6B">
        <w:rPr>
          <w:rFonts w:ascii="Public Sans" w:eastAsia="Helvetica" w:hAnsi="Public Sans" w:cs="Segoe UI"/>
          <w:b/>
        </w:rPr>
        <w:t xml:space="preserve"> enquiries</w:t>
      </w:r>
      <w:r w:rsidR="003D02E4" w:rsidRPr="00F31B6B">
        <w:rPr>
          <w:rFonts w:ascii="Public Sans" w:eastAsia="Helvetica" w:hAnsi="Public Sans" w:cs="Segoe UI"/>
        </w:rPr>
        <w:t xml:space="preserve"> – involving </w:t>
      </w:r>
      <w:r w:rsidR="00004796" w:rsidRPr="00F31B6B">
        <w:rPr>
          <w:rFonts w:ascii="Public Sans" w:eastAsia="Helvetica" w:hAnsi="Public Sans" w:cs="Segoe UI"/>
        </w:rPr>
        <w:t>291</w:t>
      </w:r>
      <w:r w:rsidR="003D02E4" w:rsidRPr="00F31B6B">
        <w:rPr>
          <w:rFonts w:ascii="Public Sans" w:eastAsia="Helvetica" w:hAnsi="Public Sans" w:cs="Segoe UI"/>
        </w:rPr>
        <w:t xml:space="preserve"> general enquiries, and </w:t>
      </w:r>
      <w:r w:rsidR="00285933" w:rsidRPr="00F31B6B">
        <w:rPr>
          <w:rFonts w:ascii="Public Sans" w:eastAsia="Helvetica" w:hAnsi="Public Sans" w:cs="Segoe UI"/>
        </w:rPr>
        <w:t>6</w:t>
      </w:r>
      <w:r w:rsidR="00004796" w:rsidRPr="00F31B6B">
        <w:rPr>
          <w:rFonts w:ascii="Public Sans" w:eastAsia="Helvetica" w:hAnsi="Public Sans" w:cs="Segoe UI"/>
        </w:rPr>
        <w:t>1</w:t>
      </w:r>
      <w:r w:rsidR="000F24F8" w:rsidRPr="00F31B6B">
        <w:rPr>
          <w:rFonts w:ascii="Public Sans" w:eastAsia="Helvetica" w:hAnsi="Public Sans" w:cs="Segoe UI"/>
        </w:rPr>
        <w:t>0</w:t>
      </w:r>
      <w:r w:rsidR="003D02E4" w:rsidRPr="00F31B6B">
        <w:rPr>
          <w:rFonts w:ascii="Public Sans" w:eastAsia="Helvetica" w:hAnsi="Public Sans" w:cs="Segoe UI"/>
        </w:rPr>
        <w:t xml:space="preserve"> abuse-related enquiries. </w:t>
      </w:r>
    </w:p>
    <w:p w14:paraId="3AD0E71F" w14:textId="77777777" w:rsidR="003D02E4" w:rsidRPr="00F31B6B" w:rsidRDefault="003D02E4" w:rsidP="003D02E4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7B3F60CE" w14:textId="4F484B81" w:rsidR="00C014CE" w:rsidRPr="00F31B6B" w:rsidRDefault="00C014CE" w:rsidP="00C014CE">
      <w:pPr>
        <w:spacing w:after="0" w:line="240" w:lineRule="auto"/>
        <w:rPr>
          <w:rFonts w:ascii="Public Sans" w:hAnsi="Public Sans"/>
        </w:rPr>
      </w:pPr>
      <w:r w:rsidRPr="00F31B6B">
        <w:rPr>
          <w:rFonts w:ascii="Public Sans" w:hAnsi="Public Sans"/>
        </w:rPr>
        <w:t>The number of reports to the ADC in 202</w:t>
      </w:r>
      <w:r w:rsidR="002D780C" w:rsidRPr="00F31B6B">
        <w:rPr>
          <w:rFonts w:ascii="Public Sans" w:hAnsi="Public Sans"/>
        </w:rPr>
        <w:t>3</w:t>
      </w:r>
      <w:r w:rsidRPr="00F31B6B">
        <w:rPr>
          <w:rFonts w:ascii="Public Sans" w:hAnsi="Public Sans"/>
        </w:rPr>
        <w:t>-2</w:t>
      </w:r>
      <w:r w:rsidR="002D780C" w:rsidRPr="00F31B6B">
        <w:rPr>
          <w:rFonts w:ascii="Public Sans" w:hAnsi="Public Sans"/>
        </w:rPr>
        <w:t>4</w:t>
      </w:r>
      <w:r w:rsidRPr="00F31B6B">
        <w:rPr>
          <w:rFonts w:ascii="Public Sans" w:hAnsi="Public Sans"/>
        </w:rPr>
        <w:t xml:space="preserve"> was </w:t>
      </w:r>
      <w:r w:rsidR="002D780C" w:rsidRPr="00F31B6B">
        <w:rPr>
          <w:rFonts w:ascii="Public Sans" w:hAnsi="Public Sans"/>
          <w:b/>
        </w:rPr>
        <w:t>12.9</w:t>
      </w:r>
      <w:r w:rsidRPr="00F31B6B">
        <w:rPr>
          <w:rFonts w:ascii="Public Sans" w:hAnsi="Public Sans"/>
          <w:b/>
        </w:rPr>
        <w:t>% higher</w:t>
      </w:r>
      <w:r w:rsidRPr="00F31B6B">
        <w:rPr>
          <w:rFonts w:ascii="Public Sans" w:hAnsi="Public Sans"/>
        </w:rPr>
        <w:t xml:space="preserve"> than the previous year (</w:t>
      </w:r>
      <w:r w:rsidR="00EC521B" w:rsidRPr="00F31B6B">
        <w:rPr>
          <w:rFonts w:ascii="Public Sans" w:hAnsi="Public Sans"/>
        </w:rPr>
        <w:t>4</w:t>
      </w:r>
      <w:r w:rsidRPr="00F31B6B">
        <w:rPr>
          <w:rFonts w:ascii="Public Sans" w:hAnsi="Public Sans"/>
        </w:rPr>
        <w:t>,</w:t>
      </w:r>
      <w:r w:rsidR="00EC521B" w:rsidRPr="00F31B6B">
        <w:rPr>
          <w:rFonts w:ascii="Public Sans" w:hAnsi="Public Sans"/>
        </w:rPr>
        <w:t>258</w:t>
      </w:r>
      <w:r w:rsidRPr="00F31B6B">
        <w:rPr>
          <w:rFonts w:ascii="Public Sans" w:hAnsi="Public Sans"/>
        </w:rPr>
        <w:t>). Between 2019/20 and 202</w:t>
      </w:r>
      <w:r w:rsidR="001D2656" w:rsidRPr="00F31B6B">
        <w:rPr>
          <w:rFonts w:ascii="Public Sans" w:hAnsi="Public Sans"/>
        </w:rPr>
        <w:t>3</w:t>
      </w:r>
      <w:r w:rsidRPr="00F31B6B">
        <w:rPr>
          <w:rFonts w:ascii="Public Sans" w:hAnsi="Public Sans"/>
        </w:rPr>
        <w:t>/2</w:t>
      </w:r>
      <w:r w:rsidR="001D2656" w:rsidRPr="00F31B6B">
        <w:rPr>
          <w:rFonts w:ascii="Public Sans" w:hAnsi="Public Sans"/>
        </w:rPr>
        <w:t>4</w:t>
      </w:r>
      <w:r w:rsidRPr="00F31B6B">
        <w:rPr>
          <w:rFonts w:ascii="Public Sans" w:hAnsi="Public Sans"/>
        </w:rPr>
        <w:t xml:space="preserve">, the number of reports </w:t>
      </w:r>
      <w:r w:rsidRPr="00F31B6B">
        <w:rPr>
          <w:rFonts w:ascii="Public Sans" w:hAnsi="Public Sans"/>
          <w:b/>
        </w:rPr>
        <w:t xml:space="preserve">increased by </w:t>
      </w:r>
      <w:r w:rsidR="00AE0918" w:rsidRPr="00F31B6B">
        <w:rPr>
          <w:rFonts w:ascii="Public Sans" w:hAnsi="Public Sans"/>
          <w:b/>
        </w:rPr>
        <w:t>108.8</w:t>
      </w:r>
      <w:r w:rsidRPr="00F31B6B">
        <w:rPr>
          <w:rFonts w:ascii="Public Sans" w:hAnsi="Public Sans"/>
          <w:b/>
        </w:rPr>
        <w:t>%</w:t>
      </w:r>
      <w:r w:rsidR="00AE0918" w:rsidRPr="00F31B6B">
        <w:rPr>
          <w:rFonts w:ascii="Public Sans" w:hAnsi="Public Sans"/>
          <w:b/>
        </w:rPr>
        <w:t xml:space="preserve"> (</w:t>
      </w:r>
      <w:r w:rsidR="00A044CA" w:rsidRPr="00F31B6B">
        <w:rPr>
          <w:rFonts w:ascii="Public Sans" w:hAnsi="Public Sans"/>
          <w:b/>
        </w:rPr>
        <w:t xml:space="preserve">a </w:t>
      </w:r>
      <w:r w:rsidR="00AE0918" w:rsidRPr="00F31B6B">
        <w:rPr>
          <w:rFonts w:ascii="Public Sans" w:hAnsi="Public Sans"/>
          <w:b/>
        </w:rPr>
        <w:t>two-fold increase)</w:t>
      </w:r>
      <w:r w:rsidRPr="00F31B6B">
        <w:rPr>
          <w:rFonts w:ascii="Public Sans" w:hAnsi="Public Sans"/>
        </w:rPr>
        <w:t>.</w:t>
      </w:r>
    </w:p>
    <w:p w14:paraId="4971C927" w14:textId="77777777" w:rsidR="001F43A3" w:rsidRPr="00F31B6B" w:rsidRDefault="001F43A3" w:rsidP="003D02E4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2D3EC2FF" w14:textId="2FC2144C" w:rsidR="003D02E4" w:rsidRPr="00F31B6B" w:rsidRDefault="003D02E4" w:rsidP="00203CDD">
      <w:pPr>
        <w:spacing w:before="120" w:after="0" w:line="240" w:lineRule="auto"/>
        <w:rPr>
          <w:rFonts w:ascii="Public Sans" w:eastAsia="Arial Unicode MS" w:hAnsi="Public Sans" w:cs="Segoe UI"/>
          <w:b/>
          <w:sz w:val="18"/>
          <w:szCs w:val="24"/>
        </w:rPr>
      </w:pPr>
      <w:r w:rsidRPr="00F31B6B">
        <w:rPr>
          <w:rFonts w:ascii="Public Sans" w:hAnsi="Public Sans" w:cs="Segoe UI"/>
          <w:b/>
          <w:sz w:val="18"/>
        </w:rPr>
        <w:t xml:space="preserve">Figure </w:t>
      </w:r>
      <w:r w:rsidR="001310E6" w:rsidRPr="00F31B6B">
        <w:rPr>
          <w:rFonts w:ascii="Public Sans" w:hAnsi="Public Sans" w:cs="Segoe UI"/>
          <w:b/>
          <w:sz w:val="18"/>
        </w:rPr>
        <w:t>3</w:t>
      </w:r>
      <w:r w:rsidRPr="00F31B6B">
        <w:rPr>
          <w:rFonts w:ascii="Public Sans" w:hAnsi="Public Sans" w:cs="Segoe UI"/>
          <w:b/>
          <w:sz w:val="18"/>
        </w:rPr>
        <w:t xml:space="preserve">: </w:t>
      </w:r>
      <w:r w:rsidR="00C014CE" w:rsidRPr="00F31B6B">
        <w:rPr>
          <w:rFonts w:ascii="Public Sans" w:hAnsi="Public Sans" w:cs="Segoe UI"/>
          <w:b/>
          <w:sz w:val="18"/>
        </w:rPr>
        <w:t>Reports</w:t>
      </w:r>
      <w:r w:rsidRPr="00F31B6B">
        <w:rPr>
          <w:rFonts w:ascii="Public Sans" w:eastAsia="Arial Unicode MS" w:hAnsi="Public Sans" w:cs="Segoe UI"/>
          <w:b/>
          <w:sz w:val="18"/>
          <w:szCs w:val="24"/>
        </w:rPr>
        <w:t xml:space="preserve"> received by the ADC, by </w:t>
      </w:r>
      <w:r w:rsidR="00F87A11" w:rsidRPr="00F31B6B">
        <w:rPr>
          <w:rFonts w:ascii="Public Sans" w:eastAsia="Arial Unicode MS" w:hAnsi="Public Sans" w:cs="Segoe UI"/>
          <w:b/>
          <w:sz w:val="18"/>
          <w:szCs w:val="24"/>
        </w:rPr>
        <w:t>month and year</w:t>
      </w:r>
      <w:r w:rsidRPr="00F31B6B">
        <w:rPr>
          <w:rFonts w:ascii="Public Sans" w:eastAsia="Arial Unicode MS" w:hAnsi="Public Sans" w:cs="Segoe UI"/>
          <w:b/>
          <w:sz w:val="18"/>
          <w:szCs w:val="24"/>
        </w:rPr>
        <w:t xml:space="preserve">, July 2019 – </w:t>
      </w:r>
      <w:r w:rsidR="009419C5" w:rsidRPr="00F31B6B">
        <w:rPr>
          <w:rFonts w:ascii="Public Sans" w:eastAsia="Arial Unicode MS" w:hAnsi="Public Sans" w:cs="Segoe UI"/>
          <w:b/>
          <w:sz w:val="18"/>
          <w:szCs w:val="24"/>
        </w:rPr>
        <w:t>June</w:t>
      </w:r>
      <w:r w:rsidRPr="00F31B6B">
        <w:rPr>
          <w:rFonts w:ascii="Public Sans" w:eastAsia="Arial Unicode MS" w:hAnsi="Public Sans" w:cs="Segoe UI"/>
          <w:b/>
          <w:sz w:val="18"/>
          <w:szCs w:val="24"/>
        </w:rPr>
        <w:t xml:space="preserve"> 202</w:t>
      </w:r>
      <w:r w:rsidR="00632E94" w:rsidRPr="00F31B6B">
        <w:rPr>
          <w:rFonts w:ascii="Public Sans" w:eastAsia="Arial Unicode MS" w:hAnsi="Public Sans" w:cs="Segoe UI"/>
          <w:b/>
          <w:sz w:val="18"/>
          <w:szCs w:val="24"/>
        </w:rPr>
        <w:t>4</w:t>
      </w:r>
    </w:p>
    <w:p w14:paraId="5BCB84B4" w14:textId="2FD0A963" w:rsidR="001F43A3" w:rsidRPr="00F31B6B" w:rsidRDefault="003D62A2" w:rsidP="001310E6">
      <w:pPr>
        <w:spacing w:after="0" w:line="240" w:lineRule="auto"/>
        <w:rPr>
          <w:rFonts w:ascii="Public Sans" w:hAnsi="Public Sans" w:cs="Segoe UI"/>
        </w:rPr>
      </w:pPr>
      <w:r w:rsidRPr="00F31B6B">
        <w:rPr>
          <w:noProof/>
        </w:rPr>
        <w:drawing>
          <wp:inline distT="0" distB="0" distL="0" distR="0" wp14:anchorId="72FF10C1" wp14:editId="018A1681">
            <wp:extent cx="6106160" cy="3114675"/>
            <wp:effectExtent l="0" t="0" r="8890" b="952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93D5EEE3-A5CF-12BA-0392-D169EA79D4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AEE5F4" w14:textId="77777777" w:rsidR="00203CDD" w:rsidRPr="00F31B6B" w:rsidRDefault="00203CDD" w:rsidP="002807C3">
      <w:pPr>
        <w:spacing w:after="0" w:line="240" w:lineRule="auto"/>
        <w:rPr>
          <w:rFonts w:ascii="Public Sans" w:hAnsi="Public Sans"/>
        </w:rPr>
      </w:pPr>
    </w:p>
    <w:p w14:paraId="35B87F15" w14:textId="77777777" w:rsidR="00F87A11" w:rsidRPr="00F31B6B" w:rsidRDefault="00F87A11" w:rsidP="00285933">
      <w:pPr>
        <w:rPr>
          <w:rFonts w:ascii="Public Sans" w:hAnsi="Public Sans" w:cs="Segoe UI"/>
          <w:b/>
          <w:sz w:val="20"/>
        </w:rPr>
      </w:pPr>
    </w:p>
    <w:p w14:paraId="01F02060" w14:textId="7696D622" w:rsidR="00E403D8" w:rsidRPr="00F31B6B" w:rsidRDefault="003D0AF3" w:rsidP="00E134D4">
      <w:pPr>
        <w:pStyle w:val="Heading1"/>
        <w:numPr>
          <w:ilvl w:val="0"/>
          <w:numId w:val="10"/>
        </w:numPr>
        <w:spacing w:before="0" w:after="0"/>
        <w:ind w:left="426" w:hanging="426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>Person status and d</w:t>
      </w:r>
      <w:r w:rsidR="00DE7A39" w:rsidRPr="00F31B6B">
        <w:rPr>
          <w:rFonts w:ascii="Public Sans" w:hAnsi="Public Sans"/>
          <w:b/>
        </w:rPr>
        <w:t>emographic</w:t>
      </w:r>
      <w:r w:rsidRPr="00F31B6B">
        <w:rPr>
          <w:rFonts w:ascii="Public Sans" w:hAnsi="Public Sans"/>
          <w:b/>
        </w:rPr>
        <w:t>s</w:t>
      </w:r>
      <w:r w:rsidR="00B357DD">
        <w:rPr>
          <w:rStyle w:val="FootnoteReference"/>
          <w:rFonts w:ascii="Public Sans" w:hAnsi="Public Sans"/>
          <w:b/>
        </w:rPr>
        <w:footnoteReference w:id="1"/>
      </w:r>
      <w:r w:rsidR="00DE7A39" w:rsidRPr="00F31B6B">
        <w:rPr>
          <w:rFonts w:ascii="Public Sans" w:hAnsi="Public Sans"/>
          <w:b/>
        </w:rPr>
        <w:t xml:space="preserve"> </w:t>
      </w:r>
    </w:p>
    <w:p w14:paraId="7416AAE2" w14:textId="77777777" w:rsidR="003D0AF3" w:rsidRPr="00F31B6B" w:rsidRDefault="003D0AF3" w:rsidP="007E5C28">
      <w:pPr>
        <w:pStyle w:val="Heading2"/>
        <w:spacing w:before="120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>2.1</w:t>
      </w:r>
      <w:r w:rsidRPr="00F31B6B">
        <w:rPr>
          <w:rFonts w:ascii="Public Sans" w:hAnsi="Public Sans"/>
          <w:b/>
        </w:rPr>
        <w:tab/>
      </w:r>
      <w:r w:rsidR="00EC4EA0" w:rsidRPr="00F31B6B">
        <w:rPr>
          <w:rFonts w:ascii="Public Sans" w:hAnsi="Public Sans"/>
          <w:b/>
        </w:rPr>
        <w:t>Person status</w:t>
      </w:r>
    </w:p>
    <w:p w14:paraId="24A6A029" w14:textId="77777777" w:rsidR="003D0AF3" w:rsidRPr="00F31B6B" w:rsidRDefault="003D0AF3" w:rsidP="003D0AF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275AF945" w14:textId="6DF6D6C3" w:rsidR="003D0AF3" w:rsidRPr="00F31B6B" w:rsidRDefault="003D0AF3" w:rsidP="003D0AF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 xml:space="preserve">Of the </w:t>
      </w:r>
      <w:r w:rsidR="003A7E18" w:rsidRPr="00F31B6B">
        <w:rPr>
          <w:rFonts w:ascii="Public Sans" w:eastAsia="Helvetica" w:hAnsi="Public Sans" w:cs="Segoe UI"/>
        </w:rPr>
        <w:t>4</w:t>
      </w:r>
      <w:r w:rsidR="002807C3" w:rsidRPr="00F31B6B">
        <w:rPr>
          <w:rFonts w:ascii="Public Sans" w:eastAsia="Helvetica" w:hAnsi="Public Sans" w:cs="Segoe UI"/>
        </w:rPr>
        <w:t>,</w:t>
      </w:r>
      <w:r w:rsidR="00355530" w:rsidRPr="00F31B6B">
        <w:rPr>
          <w:rFonts w:ascii="Public Sans" w:eastAsia="Helvetica" w:hAnsi="Public Sans" w:cs="Segoe UI"/>
        </w:rPr>
        <w:t>806</w:t>
      </w:r>
      <w:r w:rsidRPr="00F31B6B">
        <w:rPr>
          <w:rFonts w:ascii="Public Sans" w:eastAsia="Helvetica" w:hAnsi="Public Sans" w:cs="Segoe UI"/>
        </w:rPr>
        <w:t xml:space="preserve"> reports received by the ADC</w:t>
      </w:r>
      <w:r w:rsidR="002807C3" w:rsidRPr="00F31B6B">
        <w:rPr>
          <w:rFonts w:ascii="Public Sans" w:eastAsia="Helvetica" w:hAnsi="Public Sans" w:cs="Segoe UI"/>
        </w:rPr>
        <w:t xml:space="preserve"> in 202</w:t>
      </w:r>
      <w:r w:rsidR="0018607A" w:rsidRPr="00F31B6B">
        <w:rPr>
          <w:rFonts w:ascii="Public Sans" w:eastAsia="Helvetica" w:hAnsi="Public Sans" w:cs="Segoe UI"/>
        </w:rPr>
        <w:t>3</w:t>
      </w:r>
      <w:r w:rsidR="002807C3" w:rsidRPr="00F31B6B">
        <w:rPr>
          <w:rFonts w:ascii="Public Sans" w:eastAsia="Helvetica" w:hAnsi="Public Sans" w:cs="Segoe UI"/>
        </w:rPr>
        <w:t>-2</w:t>
      </w:r>
      <w:r w:rsidR="0018607A" w:rsidRPr="00F31B6B">
        <w:rPr>
          <w:rFonts w:ascii="Public Sans" w:eastAsia="Helvetica" w:hAnsi="Public Sans" w:cs="Segoe UI"/>
        </w:rPr>
        <w:t>4</w:t>
      </w:r>
      <w:r w:rsidRPr="00F31B6B">
        <w:rPr>
          <w:rFonts w:ascii="Public Sans" w:eastAsia="Helvetica" w:hAnsi="Public Sans" w:cs="Segoe UI"/>
        </w:rPr>
        <w:t>:</w:t>
      </w:r>
    </w:p>
    <w:p w14:paraId="6819A4A1" w14:textId="67D4FDC0" w:rsidR="003D0AF3" w:rsidRPr="00F31B6B" w:rsidRDefault="00ED75B2" w:rsidP="003D0AF3">
      <w:pPr>
        <w:pStyle w:val="Body"/>
        <w:widowControl w:val="0"/>
        <w:numPr>
          <w:ilvl w:val="0"/>
          <w:numId w:val="1"/>
        </w:numPr>
        <w:spacing w:before="120"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  <w:b/>
        </w:rPr>
        <w:t>3</w:t>
      </w:r>
      <w:r w:rsidR="002807C3" w:rsidRPr="00F31B6B">
        <w:rPr>
          <w:rFonts w:ascii="Public Sans" w:eastAsia="Helvetica" w:hAnsi="Public Sans" w:cs="Segoe UI"/>
          <w:b/>
        </w:rPr>
        <w:t>,</w:t>
      </w:r>
      <w:r w:rsidR="008408FC" w:rsidRPr="00F31B6B">
        <w:rPr>
          <w:rFonts w:ascii="Public Sans" w:eastAsia="Helvetica" w:hAnsi="Public Sans" w:cs="Segoe UI"/>
          <w:b/>
        </w:rPr>
        <w:t>70</w:t>
      </w:r>
      <w:r w:rsidR="005C6908" w:rsidRPr="00F31B6B">
        <w:rPr>
          <w:rFonts w:ascii="Public Sans" w:eastAsia="Helvetica" w:hAnsi="Public Sans" w:cs="Segoe UI"/>
          <w:b/>
        </w:rPr>
        <w:t>4</w:t>
      </w:r>
      <w:r w:rsidR="003D0AF3" w:rsidRPr="00F31B6B">
        <w:rPr>
          <w:rFonts w:ascii="Public Sans" w:eastAsia="Helvetica" w:hAnsi="Public Sans" w:cs="Segoe UI"/>
          <w:b/>
        </w:rPr>
        <w:t xml:space="preserve"> reports </w:t>
      </w:r>
      <w:r w:rsidR="00892066" w:rsidRPr="00F31B6B">
        <w:rPr>
          <w:rFonts w:ascii="Public Sans" w:eastAsia="Helvetica" w:hAnsi="Public Sans" w:cs="Segoe UI"/>
          <w:b/>
        </w:rPr>
        <w:t>(7</w:t>
      </w:r>
      <w:r w:rsidR="008408FC" w:rsidRPr="00F31B6B">
        <w:rPr>
          <w:rFonts w:ascii="Public Sans" w:eastAsia="Helvetica" w:hAnsi="Public Sans" w:cs="Segoe UI"/>
          <w:b/>
        </w:rPr>
        <w:t>7</w:t>
      </w:r>
      <w:r w:rsidR="002807C3" w:rsidRPr="00F31B6B">
        <w:rPr>
          <w:rFonts w:ascii="Public Sans" w:eastAsia="Helvetica" w:hAnsi="Public Sans" w:cs="Segoe UI"/>
          <w:b/>
        </w:rPr>
        <w:t>.</w:t>
      </w:r>
      <w:r w:rsidR="008408FC" w:rsidRPr="00F31B6B">
        <w:rPr>
          <w:rFonts w:ascii="Public Sans" w:eastAsia="Helvetica" w:hAnsi="Public Sans" w:cs="Segoe UI"/>
          <w:b/>
        </w:rPr>
        <w:t>1</w:t>
      </w:r>
      <w:r w:rsidR="003D0AF3" w:rsidRPr="00F31B6B">
        <w:rPr>
          <w:rFonts w:ascii="Public Sans" w:eastAsia="Helvetica" w:hAnsi="Public Sans" w:cs="Segoe UI"/>
          <w:b/>
        </w:rPr>
        <w:t xml:space="preserve">%) </w:t>
      </w:r>
      <w:r w:rsidR="002807C3" w:rsidRPr="00F31B6B">
        <w:rPr>
          <w:rFonts w:ascii="Public Sans" w:eastAsia="Helvetica" w:hAnsi="Public Sans" w:cs="Segoe UI"/>
          <w:b/>
        </w:rPr>
        <w:t>related to</w:t>
      </w:r>
      <w:r w:rsidR="003D0AF3" w:rsidRPr="00F31B6B">
        <w:rPr>
          <w:rFonts w:ascii="Public Sans" w:eastAsia="Helvetica" w:hAnsi="Public Sans" w:cs="Segoe UI"/>
          <w:b/>
        </w:rPr>
        <w:t xml:space="preserve"> older people</w:t>
      </w:r>
      <w:r w:rsidR="00B53EFC" w:rsidRPr="00F31B6B">
        <w:rPr>
          <w:rStyle w:val="FootnoteReference"/>
          <w:rFonts w:ascii="Public Sans" w:eastAsia="Helvetica" w:hAnsi="Public Sans" w:cs="Segoe UI"/>
        </w:rPr>
        <w:footnoteReference w:id="2"/>
      </w:r>
      <w:r w:rsidR="003D0AF3" w:rsidRPr="00F31B6B">
        <w:rPr>
          <w:rFonts w:ascii="Public Sans" w:eastAsia="Helvetica" w:hAnsi="Public Sans" w:cs="Segoe UI"/>
        </w:rPr>
        <w:t xml:space="preserve">, including </w:t>
      </w:r>
      <w:r w:rsidR="003A7E18" w:rsidRPr="00F31B6B">
        <w:rPr>
          <w:rFonts w:ascii="Public Sans" w:eastAsia="Helvetica" w:hAnsi="Public Sans" w:cs="Segoe UI"/>
        </w:rPr>
        <w:t>1,</w:t>
      </w:r>
      <w:r w:rsidR="00787D1C" w:rsidRPr="00F31B6B">
        <w:rPr>
          <w:rFonts w:ascii="Public Sans" w:eastAsia="Helvetica" w:hAnsi="Public Sans" w:cs="Segoe UI"/>
        </w:rPr>
        <w:t>18</w:t>
      </w:r>
      <w:r w:rsidR="007B751C" w:rsidRPr="00F31B6B">
        <w:rPr>
          <w:rFonts w:ascii="Public Sans" w:eastAsia="Helvetica" w:hAnsi="Public Sans" w:cs="Segoe UI"/>
        </w:rPr>
        <w:t>8</w:t>
      </w:r>
      <w:r w:rsidR="003D0AF3" w:rsidRPr="00F31B6B">
        <w:rPr>
          <w:rFonts w:ascii="Public Sans" w:eastAsia="Helvetica" w:hAnsi="Public Sans" w:cs="Segoe UI"/>
        </w:rPr>
        <w:t xml:space="preserve"> reports </w:t>
      </w:r>
      <w:r w:rsidR="002807C3" w:rsidRPr="00F31B6B">
        <w:rPr>
          <w:rFonts w:ascii="Public Sans" w:eastAsia="Helvetica" w:hAnsi="Public Sans" w:cs="Segoe UI"/>
        </w:rPr>
        <w:t>about</w:t>
      </w:r>
      <w:r w:rsidR="003D0AF3" w:rsidRPr="00F31B6B">
        <w:rPr>
          <w:rFonts w:ascii="Public Sans" w:eastAsia="Helvetica" w:hAnsi="Public Sans" w:cs="Segoe UI"/>
        </w:rPr>
        <w:t xml:space="preserve"> older people with disability</w:t>
      </w:r>
      <w:r w:rsidR="0043349E">
        <w:rPr>
          <w:rFonts w:ascii="Public Sans" w:eastAsia="Helvetica" w:hAnsi="Public Sans" w:cs="Segoe UI"/>
        </w:rPr>
        <w:t>.</w:t>
      </w:r>
    </w:p>
    <w:p w14:paraId="4E7165AF" w14:textId="0C59F236" w:rsidR="003D0AF3" w:rsidRPr="00F31B6B" w:rsidRDefault="003A7E18" w:rsidP="003D0AF3">
      <w:pPr>
        <w:pStyle w:val="Body"/>
        <w:widowControl w:val="0"/>
        <w:numPr>
          <w:ilvl w:val="0"/>
          <w:numId w:val="1"/>
        </w:numPr>
        <w:spacing w:before="120" w:after="0" w:line="240" w:lineRule="auto"/>
        <w:ind w:left="714" w:hanging="357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  <w:b/>
        </w:rPr>
        <w:t>1,</w:t>
      </w:r>
      <w:r w:rsidR="00787D1C" w:rsidRPr="00F31B6B">
        <w:rPr>
          <w:rFonts w:ascii="Public Sans" w:eastAsia="Helvetica" w:hAnsi="Public Sans" w:cs="Segoe UI"/>
          <w:b/>
        </w:rPr>
        <w:t>10</w:t>
      </w:r>
      <w:r w:rsidR="007B751C" w:rsidRPr="00F31B6B">
        <w:rPr>
          <w:rFonts w:ascii="Public Sans" w:eastAsia="Helvetica" w:hAnsi="Public Sans" w:cs="Segoe UI"/>
          <w:b/>
        </w:rPr>
        <w:t>2</w:t>
      </w:r>
      <w:r w:rsidR="003D0AF3" w:rsidRPr="00F31B6B">
        <w:rPr>
          <w:rFonts w:ascii="Public Sans" w:eastAsia="Helvetica" w:hAnsi="Public Sans" w:cs="Segoe UI"/>
          <w:b/>
        </w:rPr>
        <w:t xml:space="preserve"> reports (2</w:t>
      </w:r>
      <w:r w:rsidR="00787D1C" w:rsidRPr="00F31B6B">
        <w:rPr>
          <w:rFonts w:ascii="Public Sans" w:eastAsia="Helvetica" w:hAnsi="Public Sans" w:cs="Segoe UI"/>
          <w:b/>
        </w:rPr>
        <w:t>2</w:t>
      </w:r>
      <w:r w:rsidR="002807C3" w:rsidRPr="00F31B6B">
        <w:rPr>
          <w:rFonts w:ascii="Public Sans" w:eastAsia="Helvetica" w:hAnsi="Public Sans" w:cs="Segoe UI"/>
          <w:b/>
        </w:rPr>
        <w:t>.</w:t>
      </w:r>
      <w:r w:rsidR="00787D1C" w:rsidRPr="00F31B6B">
        <w:rPr>
          <w:rFonts w:ascii="Public Sans" w:eastAsia="Helvetica" w:hAnsi="Public Sans" w:cs="Segoe UI"/>
          <w:b/>
        </w:rPr>
        <w:t>9</w:t>
      </w:r>
      <w:r w:rsidR="003D0AF3" w:rsidRPr="00F31B6B">
        <w:rPr>
          <w:rFonts w:ascii="Public Sans" w:eastAsia="Helvetica" w:hAnsi="Public Sans" w:cs="Segoe UI"/>
          <w:b/>
        </w:rPr>
        <w:t xml:space="preserve">%) </w:t>
      </w:r>
      <w:r w:rsidR="002807C3" w:rsidRPr="00F31B6B">
        <w:rPr>
          <w:rFonts w:ascii="Public Sans" w:eastAsia="Helvetica" w:hAnsi="Public Sans" w:cs="Segoe UI"/>
          <w:b/>
        </w:rPr>
        <w:t>related to</w:t>
      </w:r>
      <w:r w:rsidR="003D0AF3" w:rsidRPr="00F31B6B">
        <w:rPr>
          <w:rFonts w:ascii="Public Sans" w:eastAsia="Helvetica" w:hAnsi="Public Sans" w:cs="Segoe UI"/>
          <w:b/>
        </w:rPr>
        <w:t xml:space="preserve"> adults with disability</w:t>
      </w:r>
      <w:r w:rsidR="00B53EFC" w:rsidRPr="00F31B6B">
        <w:rPr>
          <w:rStyle w:val="FootnoteReference"/>
          <w:rFonts w:ascii="Public Sans" w:eastAsia="Helvetica" w:hAnsi="Public Sans" w:cs="Segoe UI"/>
        </w:rPr>
        <w:footnoteReference w:id="3"/>
      </w:r>
      <w:r w:rsidR="003D0AF3" w:rsidRPr="00F31B6B">
        <w:rPr>
          <w:rFonts w:ascii="Public Sans" w:eastAsia="Helvetica" w:hAnsi="Public Sans" w:cs="Segoe UI"/>
        </w:rPr>
        <w:t xml:space="preserve"> who were not older people.</w:t>
      </w:r>
    </w:p>
    <w:p w14:paraId="6FD95B3F" w14:textId="77777777" w:rsidR="00F17AB3" w:rsidRPr="00F31B6B" w:rsidRDefault="00F17AB3" w:rsidP="00F17AB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008E6352" w14:textId="3AA5FC30" w:rsidR="001473C9" w:rsidRPr="00F31B6B" w:rsidRDefault="00DE15D7" w:rsidP="00F17AB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>This is</w:t>
      </w:r>
      <w:r w:rsidR="001473C9" w:rsidRPr="00F31B6B">
        <w:rPr>
          <w:rFonts w:ascii="Public Sans" w:eastAsia="Helvetica" w:hAnsi="Public Sans" w:cs="Segoe UI"/>
        </w:rPr>
        <w:t xml:space="preserve"> consistent wi</w:t>
      </w:r>
      <w:r w:rsidR="007E1F13" w:rsidRPr="00F31B6B">
        <w:rPr>
          <w:rFonts w:ascii="Public Sans" w:eastAsia="Helvetica" w:hAnsi="Public Sans" w:cs="Segoe UI"/>
        </w:rPr>
        <w:t>th previous year</w:t>
      </w:r>
      <w:r w:rsidRPr="00F31B6B">
        <w:rPr>
          <w:rFonts w:ascii="Public Sans" w:eastAsia="Helvetica" w:hAnsi="Public Sans" w:cs="Segoe UI"/>
        </w:rPr>
        <w:t>s.</w:t>
      </w:r>
    </w:p>
    <w:p w14:paraId="7184F5C3" w14:textId="77777777" w:rsidR="003D0AF3" w:rsidRPr="00F31B6B" w:rsidRDefault="003D0AF3" w:rsidP="003D0AF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4F6D8BE2" w14:textId="77777777" w:rsidR="00614280" w:rsidRPr="00F31B6B" w:rsidRDefault="00614280" w:rsidP="003D0AF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5A8A5D84" w14:textId="77777777" w:rsidR="00614280" w:rsidRPr="00F31B6B" w:rsidRDefault="00614280" w:rsidP="003D0AF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713A1CC2" w14:textId="77777777" w:rsidR="00614280" w:rsidRPr="00F31B6B" w:rsidRDefault="00614280" w:rsidP="003D0AF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64CCDFFB" w14:textId="77777777" w:rsidR="00614280" w:rsidRPr="00F31B6B" w:rsidRDefault="00614280" w:rsidP="003D0AF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41C45BC1" w14:textId="77777777" w:rsidR="00614280" w:rsidRPr="00F31B6B" w:rsidRDefault="00614280" w:rsidP="003D0AF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5E7BAA84" w14:textId="77777777" w:rsidR="00614280" w:rsidRPr="00F31B6B" w:rsidRDefault="00614280" w:rsidP="003D0AF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23ED01B9" w14:textId="77777777" w:rsidR="00614280" w:rsidRPr="00F31B6B" w:rsidRDefault="00614280" w:rsidP="003D0AF3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14D523CB" w14:textId="080AF8FD" w:rsidR="003D0AF3" w:rsidRPr="00F31B6B" w:rsidRDefault="003D0AF3" w:rsidP="00203CDD">
      <w:pPr>
        <w:spacing w:before="120" w:after="0" w:line="240" w:lineRule="auto"/>
        <w:rPr>
          <w:rFonts w:ascii="Public Sans" w:eastAsia="Arial Unicode MS" w:hAnsi="Public Sans" w:cs="Segoe UI"/>
          <w:b/>
          <w:sz w:val="18"/>
          <w:szCs w:val="24"/>
        </w:rPr>
      </w:pPr>
      <w:r w:rsidRPr="00F31B6B">
        <w:rPr>
          <w:rFonts w:ascii="Public Sans" w:eastAsia="Arial Unicode MS" w:hAnsi="Public Sans" w:cs="Segoe UI"/>
          <w:b/>
          <w:sz w:val="18"/>
          <w:szCs w:val="24"/>
        </w:rPr>
        <w:t xml:space="preserve">Figure </w:t>
      </w:r>
      <w:r w:rsidR="00F31B6B">
        <w:rPr>
          <w:rFonts w:ascii="Public Sans" w:eastAsia="Arial Unicode MS" w:hAnsi="Public Sans" w:cs="Segoe UI"/>
          <w:b/>
          <w:sz w:val="18"/>
          <w:szCs w:val="24"/>
        </w:rPr>
        <w:t>4</w:t>
      </w:r>
      <w:r w:rsidRPr="00F31B6B">
        <w:rPr>
          <w:rFonts w:ascii="Public Sans" w:eastAsia="Arial Unicode MS" w:hAnsi="Public Sans" w:cs="Segoe UI"/>
          <w:b/>
          <w:sz w:val="18"/>
          <w:szCs w:val="24"/>
        </w:rPr>
        <w:t xml:space="preserve">: All reports received by the ADC, by </w:t>
      </w:r>
      <w:r w:rsidR="005C4722" w:rsidRPr="00F31B6B">
        <w:rPr>
          <w:rFonts w:ascii="Public Sans" w:eastAsia="Arial Unicode MS" w:hAnsi="Public Sans" w:cs="Segoe UI"/>
          <w:b/>
          <w:sz w:val="18"/>
          <w:szCs w:val="24"/>
        </w:rPr>
        <w:t>person status</w:t>
      </w:r>
      <w:r w:rsidRPr="00F31B6B">
        <w:rPr>
          <w:rFonts w:ascii="Public Sans" w:eastAsia="Arial Unicode MS" w:hAnsi="Public Sans" w:cs="Segoe UI"/>
          <w:b/>
          <w:sz w:val="18"/>
          <w:szCs w:val="24"/>
        </w:rPr>
        <w:t xml:space="preserve">, </w:t>
      </w:r>
      <w:r w:rsidR="00EA0C24" w:rsidRPr="00F31B6B">
        <w:rPr>
          <w:rFonts w:ascii="Public Sans" w:eastAsia="Arial Unicode MS" w:hAnsi="Public Sans" w:cs="Segoe UI"/>
          <w:b/>
          <w:sz w:val="18"/>
          <w:szCs w:val="24"/>
        </w:rPr>
        <w:t>202</w:t>
      </w:r>
      <w:r w:rsidR="00814700" w:rsidRPr="00F31B6B">
        <w:rPr>
          <w:rFonts w:ascii="Public Sans" w:eastAsia="Arial Unicode MS" w:hAnsi="Public Sans" w:cs="Segoe UI"/>
          <w:b/>
          <w:sz w:val="18"/>
          <w:szCs w:val="24"/>
        </w:rPr>
        <w:t>3</w:t>
      </w:r>
      <w:r w:rsidR="00DE15D7" w:rsidRPr="00F31B6B">
        <w:rPr>
          <w:rFonts w:ascii="Public Sans" w:eastAsia="Arial Unicode MS" w:hAnsi="Public Sans" w:cs="Segoe UI"/>
          <w:b/>
          <w:sz w:val="18"/>
          <w:szCs w:val="24"/>
        </w:rPr>
        <w:t>-2</w:t>
      </w:r>
      <w:r w:rsidR="00814700" w:rsidRPr="00F31B6B">
        <w:rPr>
          <w:rFonts w:ascii="Public Sans" w:eastAsia="Arial Unicode MS" w:hAnsi="Public Sans" w:cs="Segoe UI"/>
          <w:b/>
          <w:sz w:val="18"/>
          <w:szCs w:val="24"/>
        </w:rPr>
        <w:t>4</w:t>
      </w:r>
    </w:p>
    <w:p w14:paraId="4FCADB9E" w14:textId="3C81C7EA" w:rsidR="001300F3" w:rsidRPr="00F31B6B" w:rsidRDefault="00880222" w:rsidP="003D0AF3">
      <w:pPr>
        <w:spacing w:after="0" w:line="240" w:lineRule="auto"/>
        <w:rPr>
          <w:rFonts w:ascii="Public Sans" w:hAnsi="Public Sans" w:cs="Segoe UI"/>
          <w:b/>
        </w:rPr>
      </w:pPr>
      <w:r w:rsidRPr="00F31B6B">
        <w:rPr>
          <w:noProof/>
        </w:rPr>
        <w:drawing>
          <wp:inline distT="0" distB="0" distL="0" distR="0" wp14:anchorId="59DF42A9" wp14:editId="5AA77EB0">
            <wp:extent cx="6038850" cy="2028825"/>
            <wp:effectExtent l="0" t="0" r="0" b="9525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4581112" w14:textId="77777777" w:rsidR="003559FD" w:rsidRPr="00F31B6B" w:rsidRDefault="003559FD" w:rsidP="003D0AF3">
      <w:pPr>
        <w:spacing w:after="0" w:line="240" w:lineRule="auto"/>
        <w:rPr>
          <w:rFonts w:ascii="Public Sans" w:hAnsi="Public Sans" w:cs="Segoe UI"/>
          <w:b/>
          <w:sz w:val="18"/>
        </w:rPr>
      </w:pPr>
    </w:p>
    <w:p w14:paraId="3D132116" w14:textId="77777777" w:rsidR="00C26631" w:rsidRPr="00C26631" w:rsidRDefault="00C26631" w:rsidP="00C26631">
      <w:pPr>
        <w:spacing w:after="0" w:line="240" w:lineRule="auto"/>
        <w:rPr>
          <w:rFonts w:ascii="Public Sans" w:eastAsia="Helvetica" w:hAnsi="Public Sans"/>
        </w:rPr>
      </w:pPr>
    </w:p>
    <w:p w14:paraId="31939CC2" w14:textId="4D1F191C" w:rsidR="00EC4EA0" w:rsidRPr="00F31B6B" w:rsidRDefault="00EC4EA0" w:rsidP="00EC4EA0">
      <w:pPr>
        <w:pStyle w:val="Heading2"/>
        <w:spacing w:before="0"/>
        <w:rPr>
          <w:rFonts w:ascii="Public Sans" w:eastAsia="Helvetica" w:hAnsi="Public Sans"/>
          <w:b/>
        </w:rPr>
      </w:pPr>
      <w:r w:rsidRPr="00F31B6B">
        <w:rPr>
          <w:rFonts w:ascii="Public Sans" w:eastAsia="Helvetica" w:hAnsi="Public Sans"/>
          <w:b/>
        </w:rPr>
        <w:t>2.2 Aboriginal and Torres Strait Islander status</w:t>
      </w:r>
    </w:p>
    <w:p w14:paraId="06F18151" w14:textId="77777777" w:rsidR="00EC4EA0" w:rsidRPr="00F31B6B" w:rsidRDefault="00EC4EA0" w:rsidP="00EC4EA0">
      <w:pPr>
        <w:spacing w:after="0" w:line="240" w:lineRule="auto"/>
        <w:rPr>
          <w:rFonts w:ascii="Public Sans" w:hAnsi="Public Sans"/>
        </w:rPr>
      </w:pPr>
    </w:p>
    <w:p w14:paraId="79FAB4CC" w14:textId="315F53F8" w:rsidR="002502D8" w:rsidRPr="00F31B6B" w:rsidRDefault="00265D5B" w:rsidP="00EC4EA0">
      <w:pPr>
        <w:spacing w:after="0" w:line="240" w:lineRule="auto"/>
        <w:rPr>
          <w:rFonts w:ascii="Public Sans" w:hAnsi="Public Sans"/>
        </w:rPr>
      </w:pPr>
      <w:r w:rsidRPr="00F31B6B">
        <w:rPr>
          <w:rFonts w:ascii="Public Sans" w:hAnsi="Public Sans"/>
        </w:rPr>
        <w:t xml:space="preserve">In </w:t>
      </w:r>
      <w:r w:rsidR="008C6077" w:rsidRPr="00F31B6B">
        <w:rPr>
          <w:rFonts w:ascii="Public Sans" w:hAnsi="Public Sans"/>
        </w:rPr>
        <w:t>3.7</w:t>
      </w:r>
      <w:r w:rsidRPr="00F31B6B">
        <w:rPr>
          <w:rFonts w:ascii="Public Sans" w:hAnsi="Public Sans"/>
        </w:rPr>
        <w:t>% of reports to the ADC in 202</w:t>
      </w:r>
      <w:r w:rsidR="000F1F54" w:rsidRPr="00F31B6B">
        <w:rPr>
          <w:rFonts w:ascii="Public Sans" w:hAnsi="Public Sans"/>
        </w:rPr>
        <w:t>3</w:t>
      </w:r>
      <w:r w:rsidRPr="00F31B6B">
        <w:rPr>
          <w:rFonts w:ascii="Public Sans" w:hAnsi="Public Sans"/>
        </w:rPr>
        <w:t>-2</w:t>
      </w:r>
      <w:r w:rsidR="000F1F54" w:rsidRPr="00F31B6B">
        <w:rPr>
          <w:rFonts w:ascii="Public Sans" w:hAnsi="Public Sans"/>
        </w:rPr>
        <w:t>4</w:t>
      </w:r>
      <w:r w:rsidRPr="00F31B6B">
        <w:rPr>
          <w:rFonts w:ascii="Public Sans" w:hAnsi="Public Sans"/>
        </w:rPr>
        <w:t xml:space="preserve">, the adult with disability or older person was identified as Aboriginal and/or Torres Strait Islander. </w:t>
      </w:r>
      <w:r w:rsidR="00F36042" w:rsidRPr="00F31B6B">
        <w:rPr>
          <w:rFonts w:ascii="Public Sans" w:hAnsi="Public Sans"/>
        </w:rPr>
        <w:t>This number has</w:t>
      </w:r>
      <w:r w:rsidR="00662509" w:rsidRPr="00F31B6B">
        <w:rPr>
          <w:rFonts w:ascii="Public Sans" w:hAnsi="Public Sans"/>
        </w:rPr>
        <w:t xml:space="preserve"> increased</w:t>
      </w:r>
      <w:r w:rsidR="00E42768" w:rsidRPr="00F31B6B">
        <w:rPr>
          <w:rFonts w:ascii="Public Sans" w:hAnsi="Public Sans"/>
        </w:rPr>
        <w:t xml:space="preserve"> compared to</w:t>
      </w:r>
      <w:r w:rsidR="003429D1" w:rsidRPr="00F31B6B">
        <w:rPr>
          <w:rFonts w:ascii="Public Sans" w:hAnsi="Public Sans"/>
        </w:rPr>
        <w:t xml:space="preserve"> the</w:t>
      </w:r>
      <w:r w:rsidR="00E42768" w:rsidRPr="00F31B6B">
        <w:rPr>
          <w:rFonts w:ascii="Public Sans" w:hAnsi="Public Sans"/>
        </w:rPr>
        <w:t xml:space="preserve"> previous year</w:t>
      </w:r>
      <w:r w:rsidR="00662509" w:rsidRPr="00F31B6B">
        <w:rPr>
          <w:rFonts w:ascii="Public Sans" w:hAnsi="Public Sans"/>
        </w:rPr>
        <w:t xml:space="preserve"> (from 2.9% to </w:t>
      </w:r>
      <w:r w:rsidR="008C6077" w:rsidRPr="00F31B6B">
        <w:rPr>
          <w:rFonts w:ascii="Public Sans" w:hAnsi="Public Sans"/>
        </w:rPr>
        <w:t>3.7</w:t>
      </w:r>
      <w:r w:rsidR="00662509" w:rsidRPr="00F31B6B">
        <w:rPr>
          <w:rFonts w:ascii="Public Sans" w:hAnsi="Public Sans"/>
        </w:rPr>
        <w:t>%)</w:t>
      </w:r>
      <w:r w:rsidR="00A3138A" w:rsidRPr="00F31B6B">
        <w:rPr>
          <w:rFonts w:ascii="Public Sans" w:hAnsi="Public Sans"/>
        </w:rPr>
        <w:t xml:space="preserve">. </w:t>
      </w:r>
    </w:p>
    <w:p w14:paraId="21F6F50A" w14:textId="77777777" w:rsidR="002C240E" w:rsidRPr="00F31B6B" w:rsidRDefault="002C240E" w:rsidP="00EC4EA0">
      <w:pPr>
        <w:spacing w:after="0" w:line="240" w:lineRule="auto"/>
        <w:rPr>
          <w:rFonts w:ascii="Public Sans" w:hAnsi="Public Sans" w:cs="Segoe UI"/>
          <w:b/>
          <w:sz w:val="18"/>
        </w:rPr>
      </w:pPr>
    </w:p>
    <w:p w14:paraId="1A234F16" w14:textId="2900F55D" w:rsidR="00EC4EA0" w:rsidRPr="00F31B6B" w:rsidRDefault="00EC4EA0" w:rsidP="00EC4EA0">
      <w:pPr>
        <w:spacing w:after="0" w:line="240" w:lineRule="auto"/>
        <w:rPr>
          <w:rFonts w:ascii="Public Sans" w:hAnsi="Public Sans" w:cs="Segoe UI"/>
          <w:b/>
          <w:sz w:val="18"/>
        </w:rPr>
      </w:pPr>
      <w:r w:rsidRPr="00F31B6B">
        <w:rPr>
          <w:rFonts w:ascii="Public Sans" w:hAnsi="Public Sans" w:cs="Segoe UI"/>
          <w:b/>
          <w:sz w:val="18"/>
        </w:rPr>
        <w:t xml:space="preserve">Table 1: Aboriginal and Torres Strait Islander status of person the subject of a report to the ADC, </w:t>
      </w:r>
      <w:r w:rsidR="0089024A" w:rsidRPr="00F31B6B">
        <w:rPr>
          <w:rFonts w:ascii="Public Sans" w:hAnsi="Public Sans" w:cs="Segoe UI"/>
          <w:b/>
          <w:sz w:val="18"/>
        </w:rPr>
        <w:t>202</w:t>
      </w:r>
      <w:r w:rsidR="00663816" w:rsidRPr="00F31B6B">
        <w:rPr>
          <w:rFonts w:ascii="Public Sans" w:hAnsi="Public Sans" w:cs="Segoe UI"/>
          <w:b/>
          <w:sz w:val="18"/>
        </w:rPr>
        <w:t>3</w:t>
      </w:r>
      <w:r w:rsidR="0089024A" w:rsidRPr="00F31B6B">
        <w:rPr>
          <w:rFonts w:ascii="Public Sans" w:hAnsi="Public Sans" w:cs="Segoe UI"/>
          <w:b/>
          <w:sz w:val="18"/>
        </w:rPr>
        <w:t>-2</w:t>
      </w:r>
      <w:r w:rsidR="00663816" w:rsidRPr="00F31B6B">
        <w:rPr>
          <w:rFonts w:ascii="Public Sans" w:hAnsi="Public Sans" w:cs="Segoe UI"/>
          <w:b/>
          <w:sz w:val="18"/>
        </w:rPr>
        <w:t>4</w:t>
      </w:r>
    </w:p>
    <w:tbl>
      <w:tblPr>
        <w:tblW w:w="9499" w:type="dxa"/>
        <w:tblLook w:val="04A0" w:firstRow="1" w:lastRow="0" w:firstColumn="1" w:lastColumn="0" w:noHBand="0" w:noVBand="1"/>
      </w:tblPr>
      <w:tblGrid>
        <w:gridCol w:w="2167"/>
        <w:gridCol w:w="1216"/>
        <w:gridCol w:w="1196"/>
        <w:gridCol w:w="1210"/>
        <w:gridCol w:w="1210"/>
        <w:gridCol w:w="1168"/>
        <w:gridCol w:w="1332"/>
      </w:tblGrid>
      <w:tr w:rsidR="00F341BA" w:rsidRPr="00F31B6B" w14:paraId="299704A1" w14:textId="77777777" w:rsidTr="00F341BA">
        <w:trPr>
          <w:trHeight w:val="1309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71FE2973" w14:textId="77777777" w:rsidR="00F341BA" w:rsidRPr="00F341BA" w:rsidRDefault="00F341BA" w:rsidP="00F341B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3E8927CC" w14:textId="0D51D1B4" w:rsidR="00F341BA" w:rsidRPr="00F341BA" w:rsidRDefault="00F341BA" w:rsidP="00F341BA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Older people (n=3,70</w:t>
            </w:r>
            <w:r w:rsidR="00BC14EA" w:rsidRPr="00F31B6B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4</w:t>
            </w:r>
            <w:r w:rsidRPr="00F341BA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2EC8A33D" w14:textId="77777777" w:rsidR="00F341BA" w:rsidRPr="00F341BA" w:rsidRDefault="00F341BA" w:rsidP="00F341BA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% of reports about older people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622B24BD" w14:textId="27E8E87A" w:rsidR="00F341BA" w:rsidRPr="00F341BA" w:rsidRDefault="00F341BA" w:rsidP="00F341BA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Adults with disability (n=1,10</w:t>
            </w:r>
            <w:r w:rsidR="00BC14EA" w:rsidRPr="00F31B6B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2</w:t>
            </w:r>
            <w:r w:rsidRPr="00F341BA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2C2D4EBD" w14:textId="77777777" w:rsidR="00F341BA" w:rsidRPr="00F341BA" w:rsidRDefault="00F341BA" w:rsidP="00F341BA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% of reports about adults with disability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61326799" w14:textId="77777777" w:rsidR="00F341BA" w:rsidRPr="00F341BA" w:rsidRDefault="00F341BA" w:rsidP="00F341BA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All reports (n=4,806)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CCDF"/>
            <w:vAlign w:val="center"/>
            <w:hideMark/>
          </w:tcPr>
          <w:p w14:paraId="65BD4899" w14:textId="77777777" w:rsidR="00F341BA" w:rsidRPr="00F341BA" w:rsidRDefault="00F341BA" w:rsidP="00F341BA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% of all reports</w:t>
            </w:r>
          </w:p>
        </w:tc>
      </w:tr>
      <w:tr w:rsidR="00BC14EA" w:rsidRPr="00F31B6B" w14:paraId="2F388022" w14:textId="77777777" w:rsidTr="00F341BA">
        <w:trPr>
          <w:trHeight w:val="997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4F4F" w14:textId="77777777" w:rsidR="00F341BA" w:rsidRPr="00F341BA" w:rsidRDefault="00F341BA" w:rsidP="00F341BA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Person identified as Aboriginal and/or Torres Strait Islander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53BB" w14:textId="77777777" w:rsidR="00F341BA" w:rsidRPr="00F341BA" w:rsidRDefault="00F341BA" w:rsidP="00F341BA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126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F218" w14:textId="6606D22B" w:rsidR="00F341BA" w:rsidRPr="00F341BA" w:rsidRDefault="00F341BA" w:rsidP="00F341BA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3</w:t>
            </w:r>
            <w:r w:rsidR="00116407" w:rsidRPr="00F31B6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.4</w:t>
            </w:r>
            <w:r w:rsidRPr="00F341BA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4F4B" w14:textId="77777777" w:rsidR="00F341BA" w:rsidRPr="00F341BA" w:rsidRDefault="00F341BA" w:rsidP="00F341BA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E282" w14:textId="093D7008" w:rsidR="00F341BA" w:rsidRPr="00F341BA" w:rsidRDefault="00116407" w:rsidP="00F341BA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F31B6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4.9</w:t>
            </w:r>
            <w:r w:rsidR="00F341BA" w:rsidRPr="00F341BA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9581" w14:textId="77777777" w:rsidR="00F341BA" w:rsidRPr="00F341BA" w:rsidRDefault="00F341BA" w:rsidP="00F341BA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84E81" w14:textId="77777777" w:rsidR="00F341BA" w:rsidRPr="00F341BA" w:rsidRDefault="00F341BA" w:rsidP="00F341BA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F341BA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3.7%</w:t>
            </w:r>
          </w:p>
        </w:tc>
      </w:tr>
    </w:tbl>
    <w:p w14:paraId="6468A387" w14:textId="77777777" w:rsidR="003559FD" w:rsidRPr="00F31B6B" w:rsidRDefault="003559FD" w:rsidP="00EC4EA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1D566942" w14:textId="77777777" w:rsidR="00EC4EA0" w:rsidRPr="00F31B6B" w:rsidRDefault="00EC4EA0" w:rsidP="00C26631">
      <w:pPr>
        <w:pStyle w:val="Heading2"/>
        <w:spacing w:before="240"/>
        <w:rPr>
          <w:rFonts w:ascii="Public Sans" w:eastAsia="Helvetica" w:hAnsi="Public Sans"/>
          <w:b/>
        </w:rPr>
      </w:pPr>
      <w:r w:rsidRPr="00F31B6B">
        <w:rPr>
          <w:rFonts w:ascii="Public Sans" w:eastAsia="Helvetica" w:hAnsi="Public Sans"/>
          <w:b/>
        </w:rPr>
        <w:t>2.3 Culturally and linguistically diverse background status</w:t>
      </w:r>
    </w:p>
    <w:p w14:paraId="1710BC15" w14:textId="77777777" w:rsidR="00EC4EA0" w:rsidRPr="00F31B6B" w:rsidRDefault="00EC4EA0" w:rsidP="00EC4EA0">
      <w:pPr>
        <w:spacing w:after="0" w:line="240" w:lineRule="auto"/>
        <w:rPr>
          <w:rFonts w:ascii="Public Sans" w:hAnsi="Public Sans"/>
        </w:rPr>
      </w:pPr>
    </w:p>
    <w:p w14:paraId="780C2075" w14:textId="64342CA6" w:rsidR="00A9234C" w:rsidRPr="00F31B6B" w:rsidRDefault="00A9234C" w:rsidP="00A9234C">
      <w:pPr>
        <w:spacing w:after="0" w:line="240" w:lineRule="auto"/>
        <w:rPr>
          <w:rFonts w:ascii="Public Sans" w:hAnsi="Public Sans"/>
        </w:rPr>
      </w:pPr>
      <w:r w:rsidRPr="00F31B6B">
        <w:rPr>
          <w:rFonts w:ascii="Public Sans" w:hAnsi="Public Sans"/>
        </w:rPr>
        <w:t xml:space="preserve">In </w:t>
      </w:r>
      <w:r w:rsidR="0043285C" w:rsidRPr="00F31B6B">
        <w:rPr>
          <w:rFonts w:ascii="Public Sans" w:hAnsi="Public Sans"/>
        </w:rPr>
        <w:t>7.</w:t>
      </w:r>
      <w:r w:rsidR="0099669A" w:rsidRPr="00F31B6B">
        <w:rPr>
          <w:rFonts w:ascii="Public Sans" w:hAnsi="Public Sans"/>
        </w:rPr>
        <w:t>9</w:t>
      </w:r>
      <w:r w:rsidRPr="00F31B6B">
        <w:rPr>
          <w:rFonts w:ascii="Public Sans" w:hAnsi="Public Sans"/>
        </w:rPr>
        <w:t>% of reports to the ADC in 202</w:t>
      </w:r>
      <w:r w:rsidR="00F42CD0" w:rsidRPr="00F31B6B">
        <w:rPr>
          <w:rFonts w:ascii="Public Sans" w:hAnsi="Public Sans"/>
        </w:rPr>
        <w:t>3</w:t>
      </w:r>
      <w:r w:rsidRPr="00F31B6B">
        <w:rPr>
          <w:rFonts w:ascii="Public Sans" w:hAnsi="Public Sans"/>
        </w:rPr>
        <w:t>-2</w:t>
      </w:r>
      <w:r w:rsidR="00F42CD0" w:rsidRPr="00F31B6B">
        <w:rPr>
          <w:rFonts w:ascii="Public Sans" w:hAnsi="Public Sans"/>
        </w:rPr>
        <w:t>4</w:t>
      </w:r>
      <w:r w:rsidRPr="00F31B6B">
        <w:rPr>
          <w:rFonts w:ascii="Public Sans" w:hAnsi="Public Sans"/>
        </w:rPr>
        <w:t xml:space="preserve">, the adult with disability or older person was identified as having a culturally and linguistically diverse (CALD) background. This </w:t>
      </w:r>
      <w:r w:rsidR="003559FD" w:rsidRPr="00F31B6B">
        <w:rPr>
          <w:rFonts w:ascii="Public Sans" w:hAnsi="Public Sans"/>
        </w:rPr>
        <w:t xml:space="preserve">was slightly </w:t>
      </w:r>
      <w:r w:rsidR="0043285C" w:rsidRPr="00F31B6B">
        <w:rPr>
          <w:rFonts w:ascii="Public Sans" w:hAnsi="Public Sans"/>
        </w:rPr>
        <w:t>higher</w:t>
      </w:r>
      <w:r w:rsidR="003559FD" w:rsidRPr="00F31B6B">
        <w:rPr>
          <w:rFonts w:ascii="Public Sans" w:hAnsi="Public Sans"/>
        </w:rPr>
        <w:t xml:space="preserve"> than the </w:t>
      </w:r>
      <w:r w:rsidRPr="00F31B6B">
        <w:rPr>
          <w:rFonts w:ascii="Public Sans" w:hAnsi="Public Sans"/>
        </w:rPr>
        <w:t xml:space="preserve">proportion </w:t>
      </w:r>
      <w:r w:rsidR="003559FD" w:rsidRPr="00F31B6B">
        <w:rPr>
          <w:rFonts w:ascii="Public Sans" w:hAnsi="Public Sans"/>
        </w:rPr>
        <w:t>in 202</w:t>
      </w:r>
      <w:r w:rsidR="008061A1" w:rsidRPr="00F31B6B">
        <w:rPr>
          <w:rFonts w:ascii="Public Sans" w:hAnsi="Public Sans"/>
        </w:rPr>
        <w:t>2</w:t>
      </w:r>
      <w:r w:rsidR="003559FD" w:rsidRPr="00F31B6B">
        <w:rPr>
          <w:rFonts w:ascii="Public Sans" w:hAnsi="Public Sans"/>
        </w:rPr>
        <w:t>-2</w:t>
      </w:r>
      <w:r w:rsidR="008061A1" w:rsidRPr="00F31B6B">
        <w:rPr>
          <w:rFonts w:ascii="Public Sans" w:hAnsi="Public Sans"/>
        </w:rPr>
        <w:t>3</w:t>
      </w:r>
      <w:r w:rsidR="003559FD" w:rsidRPr="00F31B6B">
        <w:rPr>
          <w:rFonts w:ascii="Public Sans" w:hAnsi="Public Sans"/>
        </w:rPr>
        <w:t xml:space="preserve"> (</w:t>
      </w:r>
      <w:r w:rsidR="008061A1" w:rsidRPr="00F31B6B">
        <w:rPr>
          <w:rFonts w:ascii="Public Sans" w:hAnsi="Public Sans"/>
        </w:rPr>
        <w:t>7</w:t>
      </w:r>
      <w:r w:rsidR="0043285C" w:rsidRPr="00F31B6B">
        <w:rPr>
          <w:rFonts w:ascii="Public Sans" w:hAnsi="Public Sans"/>
        </w:rPr>
        <w:t>.</w:t>
      </w:r>
      <w:r w:rsidR="008061A1" w:rsidRPr="00F31B6B">
        <w:rPr>
          <w:rFonts w:ascii="Public Sans" w:hAnsi="Public Sans"/>
        </w:rPr>
        <w:t>2</w:t>
      </w:r>
      <w:r w:rsidR="003559FD" w:rsidRPr="00F31B6B">
        <w:rPr>
          <w:rFonts w:ascii="Public Sans" w:hAnsi="Public Sans"/>
        </w:rPr>
        <w:t>%)</w:t>
      </w:r>
      <w:r w:rsidRPr="00F31B6B">
        <w:rPr>
          <w:rFonts w:ascii="Public Sans" w:hAnsi="Public Sans"/>
        </w:rPr>
        <w:t xml:space="preserve">. </w:t>
      </w:r>
    </w:p>
    <w:p w14:paraId="04461681" w14:textId="77777777" w:rsidR="00DD520E" w:rsidRPr="00F31B6B" w:rsidRDefault="00DD520E" w:rsidP="00EC4EA0">
      <w:pPr>
        <w:spacing w:after="0" w:line="240" w:lineRule="auto"/>
        <w:rPr>
          <w:rFonts w:ascii="Public Sans" w:hAnsi="Public Sans"/>
        </w:rPr>
      </w:pPr>
    </w:p>
    <w:p w14:paraId="0FD9F8DB" w14:textId="42790BA5" w:rsidR="00EC4EA0" w:rsidRPr="00F31B6B" w:rsidRDefault="00EC4EA0" w:rsidP="0009795C">
      <w:pPr>
        <w:spacing w:after="0" w:line="240" w:lineRule="auto"/>
        <w:rPr>
          <w:rFonts w:ascii="Public Sans" w:hAnsi="Public Sans" w:cs="Segoe UI"/>
          <w:b/>
          <w:sz w:val="18"/>
        </w:rPr>
      </w:pPr>
      <w:r w:rsidRPr="00F31B6B">
        <w:rPr>
          <w:rFonts w:ascii="Public Sans" w:hAnsi="Public Sans" w:cs="Segoe UI"/>
          <w:b/>
          <w:sz w:val="18"/>
        </w:rPr>
        <w:t xml:space="preserve">Table 2: </w:t>
      </w:r>
      <w:r w:rsidR="00A9234C" w:rsidRPr="00F31B6B">
        <w:rPr>
          <w:rFonts w:ascii="Public Sans" w:hAnsi="Public Sans" w:cs="Segoe UI"/>
          <w:b/>
          <w:sz w:val="18"/>
        </w:rPr>
        <w:t xml:space="preserve">CALD </w:t>
      </w:r>
      <w:r w:rsidRPr="00F31B6B">
        <w:rPr>
          <w:rFonts w:ascii="Public Sans" w:hAnsi="Public Sans" w:cs="Segoe UI"/>
          <w:b/>
          <w:sz w:val="18"/>
        </w:rPr>
        <w:t xml:space="preserve">status of person the subject of a report to the ADC, </w:t>
      </w:r>
      <w:r w:rsidR="00CA5D66" w:rsidRPr="00F31B6B">
        <w:rPr>
          <w:rFonts w:ascii="Public Sans" w:hAnsi="Public Sans" w:cs="Segoe UI"/>
          <w:b/>
          <w:sz w:val="18"/>
        </w:rPr>
        <w:t xml:space="preserve">by person status, </w:t>
      </w:r>
      <w:r w:rsidR="003A1A93" w:rsidRPr="00F31B6B">
        <w:rPr>
          <w:rFonts w:ascii="Public Sans" w:hAnsi="Public Sans" w:cs="Segoe UI"/>
          <w:b/>
          <w:sz w:val="18"/>
        </w:rPr>
        <w:t>202</w:t>
      </w:r>
      <w:r w:rsidR="00024A94" w:rsidRPr="00F31B6B">
        <w:rPr>
          <w:rFonts w:ascii="Public Sans" w:hAnsi="Public Sans" w:cs="Segoe UI"/>
          <w:b/>
          <w:sz w:val="18"/>
        </w:rPr>
        <w:t>3</w:t>
      </w:r>
      <w:r w:rsidR="003A1A93" w:rsidRPr="00F31B6B">
        <w:rPr>
          <w:rFonts w:ascii="Public Sans" w:hAnsi="Public Sans" w:cs="Segoe UI"/>
          <w:b/>
          <w:sz w:val="18"/>
        </w:rPr>
        <w:t>-</w:t>
      </w:r>
      <w:r w:rsidRPr="00F31B6B">
        <w:rPr>
          <w:rFonts w:ascii="Public Sans" w:eastAsia="Helvetica" w:hAnsi="Public Sans" w:cs="Calibri"/>
          <w:b/>
          <w:sz w:val="18"/>
        </w:rPr>
        <w:t>2</w:t>
      </w:r>
      <w:r w:rsidR="00024A94" w:rsidRPr="00F31B6B">
        <w:rPr>
          <w:rFonts w:ascii="Public Sans" w:eastAsia="Helvetica" w:hAnsi="Public Sans" w:cs="Calibri"/>
          <w:b/>
          <w:sz w:val="18"/>
        </w:rPr>
        <w:t>4</w:t>
      </w:r>
    </w:p>
    <w:tbl>
      <w:tblPr>
        <w:tblW w:w="9712" w:type="dxa"/>
        <w:tblLayout w:type="fixed"/>
        <w:tblLook w:val="04A0" w:firstRow="1" w:lastRow="0" w:firstColumn="1" w:lastColumn="0" w:noHBand="0" w:noVBand="1"/>
      </w:tblPr>
      <w:tblGrid>
        <w:gridCol w:w="1742"/>
        <w:gridCol w:w="1339"/>
        <w:gridCol w:w="1207"/>
        <w:gridCol w:w="1361"/>
        <w:gridCol w:w="1459"/>
        <w:gridCol w:w="1325"/>
        <w:gridCol w:w="1036"/>
        <w:gridCol w:w="243"/>
      </w:tblGrid>
      <w:tr w:rsidR="009A5C58" w:rsidRPr="00F31B6B" w14:paraId="242A43BF" w14:textId="77777777" w:rsidTr="009A5C58">
        <w:trPr>
          <w:gridAfter w:val="1"/>
          <w:wAfter w:w="243" w:type="dxa"/>
          <w:trHeight w:val="1622"/>
        </w:trPr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76583069" w14:textId="77777777" w:rsidR="009A5C58" w:rsidRPr="009A5C58" w:rsidRDefault="009A5C58" w:rsidP="009A5C58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304616EB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Older people (n=3,704)</w:t>
            </w:r>
          </w:p>
        </w:tc>
        <w:tc>
          <w:tcPr>
            <w:tcW w:w="12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0BEA0912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% of reports about older people</w:t>
            </w:r>
          </w:p>
        </w:tc>
        <w:tc>
          <w:tcPr>
            <w:tcW w:w="13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2C6AA6E5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Adults with disability (n=1,102)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1291713E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% of reports about adults with disability</w:t>
            </w:r>
          </w:p>
        </w:tc>
        <w:tc>
          <w:tcPr>
            <w:tcW w:w="13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70B20706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All reports (n=4,806)</w:t>
            </w:r>
          </w:p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5CCDF"/>
            <w:vAlign w:val="center"/>
            <w:hideMark/>
          </w:tcPr>
          <w:p w14:paraId="78C47786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% of all reports</w:t>
            </w:r>
          </w:p>
        </w:tc>
      </w:tr>
      <w:tr w:rsidR="009A5C58" w:rsidRPr="00F31B6B" w14:paraId="07B106F6" w14:textId="77777777" w:rsidTr="009A5C58">
        <w:trPr>
          <w:trHeight w:val="308"/>
        </w:trPr>
        <w:tc>
          <w:tcPr>
            <w:tcW w:w="17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B7CE" w14:textId="77777777" w:rsidR="009A5C58" w:rsidRPr="009A5C58" w:rsidRDefault="009A5C58" w:rsidP="009A5C58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FCE7" w14:textId="77777777" w:rsidR="009A5C58" w:rsidRPr="009A5C58" w:rsidRDefault="009A5C58" w:rsidP="009A5C58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040E" w14:textId="77777777" w:rsidR="009A5C58" w:rsidRPr="009A5C58" w:rsidRDefault="009A5C58" w:rsidP="009A5C58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7AA2" w14:textId="77777777" w:rsidR="009A5C58" w:rsidRPr="009A5C58" w:rsidRDefault="009A5C58" w:rsidP="009A5C58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61C2" w14:textId="77777777" w:rsidR="009A5C58" w:rsidRPr="009A5C58" w:rsidRDefault="009A5C58" w:rsidP="009A5C58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1F34" w14:textId="77777777" w:rsidR="009A5C58" w:rsidRPr="009A5C58" w:rsidRDefault="009A5C58" w:rsidP="009A5C58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38CB8E" w14:textId="77777777" w:rsidR="009A5C58" w:rsidRPr="009A5C58" w:rsidRDefault="009A5C58" w:rsidP="009A5C58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F33B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9A5C58" w:rsidRPr="00F31B6B" w14:paraId="6CBBAC09" w14:textId="77777777" w:rsidTr="009A5C58">
        <w:trPr>
          <w:trHeight w:val="988"/>
        </w:trPr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CDC1" w14:textId="77777777" w:rsidR="009A5C58" w:rsidRPr="009A5C58" w:rsidRDefault="009A5C58" w:rsidP="009A5C58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Person identified as having a CALD background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3C68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325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2CB6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8.8%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0E2B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6F78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4.9%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455B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379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8A13" w14:textId="77777777" w:rsidR="009A5C58" w:rsidRPr="009A5C58" w:rsidRDefault="009A5C58" w:rsidP="009A5C58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9A5C58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7.9%</w:t>
            </w:r>
          </w:p>
        </w:tc>
        <w:tc>
          <w:tcPr>
            <w:tcW w:w="243" w:type="dxa"/>
            <w:vAlign w:val="center"/>
            <w:hideMark/>
          </w:tcPr>
          <w:p w14:paraId="0747E8D3" w14:textId="77777777" w:rsidR="009A5C58" w:rsidRPr="009A5C58" w:rsidRDefault="009A5C58" w:rsidP="009A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7AE45B64" w14:textId="77777777" w:rsidR="00EC4EA0" w:rsidRPr="00F31B6B" w:rsidRDefault="00EC4EA0" w:rsidP="00EC4EA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2517480F" w14:textId="77777777" w:rsidR="00CA1398" w:rsidRDefault="00CA1398" w:rsidP="00EC4EA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2592F308" w14:textId="66B411AF" w:rsidR="00093FAB" w:rsidRPr="00F31B6B" w:rsidRDefault="00CA5D66" w:rsidP="00EC4EA0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 xml:space="preserve">Other than English, </w:t>
      </w:r>
      <w:r w:rsidR="00265B8D" w:rsidRPr="00F31B6B">
        <w:rPr>
          <w:rFonts w:ascii="Public Sans" w:eastAsia="Helvetica" w:hAnsi="Public Sans" w:cs="Segoe UI"/>
        </w:rPr>
        <w:t>the most common languages spoken at home by older people who were the subject of a report to the ADC in 202</w:t>
      </w:r>
      <w:r w:rsidR="002B5379" w:rsidRPr="00F31B6B">
        <w:rPr>
          <w:rFonts w:ascii="Public Sans" w:eastAsia="Helvetica" w:hAnsi="Public Sans" w:cs="Segoe UI"/>
        </w:rPr>
        <w:t>3</w:t>
      </w:r>
      <w:r w:rsidR="00265B8D" w:rsidRPr="00F31B6B">
        <w:rPr>
          <w:rFonts w:ascii="Public Sans" w:eastAsia="Helvetica" w:hAnsi="Public Sans" w:cs="Segoe UI"/>
        </w:rPr>
        <w:t>-2</w:t>
      </w:r>
      <w:r w:rsidR="002B5379" w:rsidRPr="00F31B6B">
        <w:rPr>
          <w:rFonts w:ascii="Public Sans" w:eastAsia="Helvetica" w:hAnsi="Public Sans" w:cs="Segoe UI"/>
        </w:rPr>
        <w:t>4</w:t>
      </w:r>
      <w:r w:rsidR="00265B8D" w:rsidRPr="00F31B6B">
        <w:rPr>
          <w:rFonts w:ascii="Public Sans" w:eastAsia="Helvetica" w:hAnsi="Public Sans" w:cs="Segoe UI"/>
        </w:rPr>
        <w:t xml:space="preserve"> were </w:t>
      </w:r>
      <w:r w:rsidR="002E21E7" w:rsidRPr="00F31B6B">
        <w:rPr>
          <w:rFonts w:ascii="Public Sans" w:eastAsia="Helvetica" w:hAnsi="Public Sans" w:cs="Segoe UI"/>
        </w:rPr>
        <w:t>Arabic</w:t>
      </w:r>
      <w:r w:rsidR="0043285C" w:rsidRPr="00F31B6B">
        <w:rPr>
          <w:rFonts w:ascii="Public Sans" w:eastAsia="Helvetica" w:hAnsi="Public Sans" w:cs="Segoe UI"/>
        </w:rPr>
        <w:t xml:space="preserve"> and </w:t>
      </w:r>
      <w:r w:rsidR="006712C2" w:rsidRPr="00F31B6B">
        <w:rPr>
          <w:rFonts w:ascii="Public Sans" w:eastAsia="Helvetica" w:hAnsi="Public Sans" w:cs="Segoe UI"/>
        </w:rPr>
        <w:t>Italian</w:t>
      </w:r>
      <w:r w:rsidR="00093FAB" w:rsidRPr="00F31B6B">
        <w:rPr>
          <w:rFonts w:ascii="Public Sans" w:eastAsia="Helvetica" w:hAnsi="Public Sans" w:cs="Segoe UI"/>
        </w:rPr>
        <w:t xml:space="preserve">. </w:t>
      </w:r>
      <w:r w:rsidR="006712C2" w:rsidRPr="00F31B6B">
        <w:rPr>
          <w:rFonts w:ascii="Public Sans" w:eastAsia="Helvetica" w:hAnsi="Public Sans" w:cs="Segoe UI"/>
        </w:rPr>
        <w:t xml:space="preserve">For adults with disability, the most common </w:t>
      </w:r>
      <w:r w:rsidRPr="00F31B6B">
        <w:rPr>
          <w:rFonts w:ascii="Public Sans" w:eastAsia="Helvetica" w:hAnsi="Public Sans" w:cs="Segoe UI"/>
        </w:rPr>
        <w:t xml:space="preserve">languages spoken at home other than English </w:t>
      </w:r>
      <w:r w:rsidR="006712C2" w:rsidRPr="00F31B6B">
        <w:rPr>
          <w:rFonts w:ascii="Public Sans" w:eastAsia="Helvetica" w:hAnsi="Public Sans" w:cs="Segoe UI"/>
        </w:rPr>
        <w:t xml:space="preserve">were Arabic and </w:t>
      </w:r>
      <w:r w:rsidR="00433004" w:rsidRPr="00F31B6B">
        <w:rPr>
          <w:rFonts w:ascii="Public Sans" w:eastAsia="Helvetica" w:hAnsi="Public Sans" w:cs="Segoe UI"/>
        </w:rPr>
        <w:t>Mandarin</w:t>
      </w:r>
      <w:r w:rsidR="006712C2" w:rsidRPr="00F31B6B">
        <w:rPr>
          <w:rFonts w:ascii="Public Sans" w:eastAsia="Helvetica" w:hAnsi="Public Sans" w:cs="Segoe UI"/>
        </w:rPr>
        <w:t xml:space="preserve">. </w:t>
      </w:r>
    </w:p>
    <w:p w14:paraId="2B86EC88" w14:textId="77777777" w:rsidR="00456A9B" w:rsidRDefault="00456A9B" w:rsidP="0009795C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</w:p>
    <w:p w14:paraId="4C52C068" w14:textId="0035D05B" w:rsidR="002230E0" w:rsidRPr="00F31B6B" w:rsidRDefault="00706677" w:rsidP="0009795C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31B6B">
        <w:rPr>
          <w:rFonts w:ascii="Public Sans" w:eastAsia="Helvetica" w:hAnsi="Public Sans" w:cs="Segoe UI"/>
          <w:b/>
          <w:sz w:val="18"/>
        </w:rPr>
        <w:t xml:space="preserve">Table 3: </w:t>
      </w:r>
      <w:r w:rsidR="0043285C" w:rsidRPr="00F31B6B">
        <w:rPr>
          <w:rFonts w:ascii="Public Sans" w:eastAsia="Helvetica" w:hAnsi="Public Sans" w:cs="Segoe UI"/>
          <w:b/>
          <w:sz w:val="18"/>
        </w:rPr>
        <w:t>Primary language other than English spoken at home by</w:t>
      </w:r>
      <w:r w:rsidRPr="00F31B6B">
        <w:rPr>
          <w:rFonts w:ascii="Public Sans" w:eastAsia="Helvetica" w:hAnsi="Public Sans" w:cs="Segoe UI"/>
          <w:b/>
          <w:sz w:val="18"/>
        </w:rPr>
        <w:t xml:space="preserve"> people the subject of a report to the ADC, </w:t>
      </w:r>
      <w:r w:rsidR="00CA5D66" w:rsidRPr="00F31B6B">
        <w:rPr>
          <w:rFonts w:ascii="Public Sans" w:eastAsia="Helvetica" w:hAnsi="Public Sans" w:cs="Segoe UI"/>
          <w:b/>
          <w:sz w:val="18"/>
        </w:rPr>
        <w:t xml:space="preserve">by person status, </w:t>
      </w:r>
      <w:r w:rsidRPr="00F31B6B">
        <w:rPr>
          <w:rFonts w:ascii="Public Sans" w:eastAsia="Helvetica" w:hAnsi="Public Sans" w:cs="Segoe UI"/>
          <w:b/>
          <w:sz w:val="18"/>
        </w:rPr>
        <w:t>202</w:t>
      </w:r>
      <w:r w:rsidR="00582FF5" w:rsidRPr="00F31B6B">
        <w:rPr>
          <w:rFonts w:ascii="Public Sans" w:eastAsia="Helvetica" w:hAnsi="Public Sans" w:cs="Segoe UI"/>
          <w:b/>
          <w:sz w:val="18"/>
        </w:rPr>
        <w:t>3</w:t>
      </w:r>
      <w:r w:rsidRPr="00F31B6B">
        <w:rPr>
          <w:rFonts w:ascii="Public Sans" w:eastAsia="Helvetica" w:hAnsi="Public Sans" w:cs="Segoe UI"/>
          <w:b/>
          <w:sz w:val="18"/>
        </w:rPr>
        <w:t>-2</w:t>
      </w:r>
      <w:r w:rsidR="00582FF5" w:rsidRPr="00F31B6B">
        <w:rPr>
          <w:rFonts w:ascii="Public Sans" w:eastAsia="Helvetica" w:hAnsi="Public Sans" w:cs="Segoe UI"/>
          <w:b/>
          <w:sz w:val="18"/>
        </w:rPr>
        <w:t>4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405"/>
        <w:gridCol w:w="1995"/>
        <w:gridCol w:w="2825"/>
        <w:gridCol w:w="2268"/>
      </w:tblGrid>
      <w:tr w:rsidR="00077ED9" w:rsidRPr="00C26631" w14:paraId="7E96CA38" w14:textId="77777777" w:rsidTr="00077ED9">
        <w:trPr>
          <w:trHeight w:val="630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6FAF3667" w14:textId="77777777" w:rsidR="00077ED9" w:rsidRPr="00C26631" w:rsidRDefault="00077ED9" w:rsidP="00077ED9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Older people (n=3,704)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2FC6F44C" w14:textId="77777777" w:rsidR="00077ED9" w:rsidRPr="00C26631" w:rsidRDefault="00077ED9" w:rsidP="00077ED9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Adults with disability (n=1,102)</w:t>
            </w:r>
          </w:p>
        </w:tc>
      </w:tr>
      <w:tr w:rsidR="00077ED9" w:rsidRPr="00C26631" w14:paraId="0E36855E" w14:textId="77777777" w:rsidTr="00077ED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289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Arabic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3D11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5C10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Arabic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B611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</w:tr>
      <w:tr w:rsidR="00077ED9" w:rsidRPr="00C26631" w14:paraId="64AFD119" w14:textId="77777777" w:rsidTr="00077ED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1CCC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Italian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9A0D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49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9353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Mandarin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D69C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</w:tr>
      <w:tr w:rsidR="00077ED9" w:rsidRPr="00C26631" w14:paraId="38B1C192" w14:textId="77777777" w:rsidTr="00077ED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8F49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Greek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D03E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A380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Hindi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628F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077ED9" w:rsidRPr="00C26631" w14:paraId="2161F352" w14:textId="77777777" w:rsidTr="00077ED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CBAB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Spanish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197D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23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BD5A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Italian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29F1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077ED9" w:rsidRPr="00C26631" w14:paraId="5D0826B2" w14:textId="77777777" w:rsidTr="00077ED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526D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Croatian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FDEE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879A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Tamil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767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</w:tr>
      <w:tr w:rsidR="00077ED9" w:rsidRPr="00C26631" w14:paraId="1AE3800B" w14:textId="77777777" w:rsidTr="00077ED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510F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Cantonese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707C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1C30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Greek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40CC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077ED9" w:rsidRPr="00C26631" w14:paraId="4C7D71CB" w14:textId="77777777" w:rsidTr="00077ED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E6BC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Mandarin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91BD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D886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Turkish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76DA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077ED9" w:rsidRPr="00C26631" w14:paraId="11FABCE9" w14:textId="77777777" w:rsidTr="00077ED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6878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Macedonian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7066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EAB8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Vietnamese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83BC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077ED9" w:rsidRPr="00C26631" w14:paraId="27EDF2BD" w14:textId="77777777" w:rsidTr="00077ED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E28D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German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2600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7B42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61BB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</w:tr>
      <w:tr w:rsidR="00077ED9" w:rsidRPr="00C26631" w14:paraId="5E6961CB" w14:textId="77777777" w:rsidTr="00077ED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1227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Turkish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45AD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B9B7" w14:textId="77777777" w:rsidR="00077ED9" w:rsidRPr="00C26631" w:rsidRDefault="00077ED9" w:rsidP="00077ED9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Cantonese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8058" w14:textId="77777777" w:rsidR="00077ED9" w:rsidRPr="00C26631" w:rsidRDefault="00077ED9" w:rsidP="00077ED9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C26631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</w:tr>
    </w:tbl>
    <w:p w14:paraId="44BAA26B" w14:textId="77777777" w:rsidR="00F87A11" w:rsidRPr="00F31B6B" w:rsidRDefault="00F87A11" w:rsidP="00F87A11"/>
    <w:p w14:paraId="46F5C5ED" w14:textId="77777777" w:rsidR="008A614A" w:rsidRPr="00F31B6B" w:rsidRDefault="00E134D4" w:rsidP="007A4BC6">
      <w:pPr>
        <w:pStyle w:val="Heading2"/>
        <w:spacing w:before="0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>2.</w:t>
      </w:r>
      <w:r w:rsidR="00904EAF" w:rsidRPr="00F31B6B">
        <w:rPr>
          <w:rFonts w:ascii="Public Sans" w:hAnsi="Public Sans"/>
          <w:b/>
        </w:rPr>
        <w:t>4</w:t>
      </w:r>
      <w:r w:rsidRPr="00F31B6B">
        <w:rPr>
          <w:rFonts w:ascii="Public Sans" w:hAnsi="Public Sans"/>
          <w:b/>
        </w:rPr>
        <w:t xml:space="preserve"> </w:t>
      </w:r>
      <w:r w:rsidR="00014357" w:rsidRPr="00F31B6B">
        <w:rPr>
          <w:rFonts w:ascii="Public Sans" w:hAnsi="Public Sans"/>
          <w:b/>
        </w:rPr>
        <w:t xml:space="preserve">Gender </w:t>
      </w:r>
    </w:p>
    <w:p w14:paraId="5DB6F3E1" w14:textId="77777777" w:rsidR="001C69DD" w:rsidRPr="00F31B6B" w:rsidRDefault="007B12A4" w:rsidP="00D603BC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 xml:space="preserve">From the start of the ADC, most reports have been about alleged abuse, neglect and exploitation of women. </w:t>
      </w:r>
    </w:p>
    <w:p w14:paraId="4EB6F653" w14:textId="77777777" w:rsidR="001C69DD" w:rsidRPr="00F31B6B" w:rsidRDefault="001C69DD" w:rsidP="001C69DD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5C14A418" w14:textId="06A2A4BC" w:rsidR="00552882" w:rsidRPr="00F31B6B" w:rsidRDefault="007B12A4" w:rsidP="001C69DD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>In 202</w:t>
      </w:r>
      <w:r w:rsidR="00527D72" w:rsidRPr="00F31B6B">
        <w:rPr>
          <w:rFonts w:ascii="Public Sans" w:eastAsia="Helvetica" w:hAnsi="Public Sans" w:cs="Segoe UI"/>
        </w:rPr>
        <w:t>3</w:t>
      </w:r>
      <w:r w:rsidRPr="00F31B6B">
        <w:rPr>
          <w:rFonts w:ascii="Public Sans" w:eastAsia="Helvetica" w:hAnsi="Public Sans" w:cs="Segoe UI"/>
        </w:rPr>
        <w:t>-</w:t>
      </w:r>
      <w:r w:rsidR="001B590C" w:rsidRPr="00F31B6B">
        <w:rPr>
          <w:rFonts w:ascii="Public Sans" w:eastAsia="Helvetica" w:hAnsi="Public Sans" w:cs="Segoe UI"/>
        </w:rPr>
        <w:t>2</w:t>
      </w:r>
      <w:r w:rsidR="00527D72" w:rsidRPr="00F31B6B">
        <w:rPr>
          <w:rFonts w:ascii="Public Sans" w:eastAsia="Helvetica" w:hAnsi="Public Sans" w:cs="Segoe UI"/>
        </w:rPr>
        <w:t>4</w:t>
      </w:r>
      <w:r w:rsidRPr="00F31B6B">
        <w:rPr>
          <w:rFonts w:ascii="Public Sans" w:eastAsia="Helvetica" w:hAnsi="Public Sans" w:cs="Segoe UI"/>
        </w:rPr>
        <w:t xml:space="preserve">, the adults in </w:t>
      </w:r>
      <w:r w:rsidR="00552882" w:rsidRPr="00F31B6B">
        <w:rPr>
          <w:rFonts w:ascii="Public Sans" w:eastAsia="Helvetica" w:hAnsi="Public Sans" w:cs="Segoe UI"/>
        </w:rPr>
        <w:t>6</w:t>
      </w:r>
      <w:r w:rsidR="009052DB" w:rsidRPr="00F31B6B">
        <w:rPr>
          <w:rFonts w:ascii="Public Sans" w:eastAsia="Helvetica" w:hAnsi="Public Sans" w:cs="Segoe UI"/>
        </w:rPr>
        <w:t>2</w:t>
      </w:r>
      <w:r w:rsidR="00552882" w:rsidRPr="00F31B6B">
        <w:rPr>
          <w:rFonts w:ascii="Public Sans" w:eastAsia="Helvetica" w:hAnsi="Public Sans" w:cs="Segoe UI"/>
        </w:rPr>
        <w:t>.</w:t>
      </w:r>
      <w:r w:rsidR="009052DB" w:rsidRPr="00F31B6B">
        <w:rPr>
          <w:rFonts w:ascii="Public Sans" w:eastAsia="Helvetica" w:hAnsi="Public Sans" w:cs="Segoe UI"/>
        </w:rPr>
        <w:t>6</w:t>
      </w:r>
      <w:r w:rsidR="00552882" w:rsidRPr="00F31B6B">
        <w:rPr>
          <w:rFonts w:ascii="Public Sans" w:eastAsia="Helvetica" w:hAnsi="Public Sans" w:cs="Segoe UI"/>
        </w:rPr>
        <w:t xml:space="preserve">% of </w:t>
      </w:r>
      <w:r w:rsidRPr="00F31B6B">
        <w:rPr>
          <w:rFonts w:ascii="Public Sans" w:eastAsia="Helvetica" w:hAnsi="Public Sans" w:cs="Segoe UI"/>
        </w:rPr>
        <w:t xml:space="preserve">the </w:t>
      </w:r>
      <w:r w:rsidR="00265B8D" w:rsidRPr="00F31B6B">
        <w:rPr>
          <w:rFonts w:ascii="Public Sans" w:eastAsia="Helvetica" w:hAnsi="Public Sans" w:cs="Segoe UI"/>
        </w:rPr>
        <w:t>4</w:t>
      </w:r>
      <w:r w:rsidR="00552882" w:rsidRPr="00F31B6B">
        <w:rPr>
          <w:rFonts w:ascii="Public Sans" w:eastAsia="Helvetica" w:hAnsi="Public Sans" w:cs="Segoe UI"/>
        </w:rPr>
        <w:t>,</w:t>
      </w:r>
      <w:r w:rsidR="009052DB" w:rsidRPr="00F31B6B">
        <w:rPr>
          <w:rFonts w:ascii="Public Sans" w:eastAsia="Helvetica" w:hAnsi="Public Sans" w:cs="Segoe UI"/>
        </w:rPr>
        <w:t>806</w:t>
      </w:r>
      <w:r w:rsidR="00552882" w:rsidRPr="00F31B6B">
        <w:rPr>
          <w:rFonts w:ascii="Public Sans" w:eastAsia="Helvetica" w:hAnsi="Public Sans" w:cs="Segoe UI"/>
        </w:rPr>
        <w:t xml:space="preserve"> reports to the ADC were </w:t>
      </w:r>
      <w:r w:rsidRPr="00F31B6B">
        <w:rPr>
          <w:rFonts w:ascii="Public Sans" w:eastAsia="Helvetica" w:hAnsi="Public Sans" w:cs="Segoe UI"/>
        </w:rPr>
        <w:t>female, including 6</w:t>
      </w:r>
      <w:r w:rsidR="00126332" w:rsidRPr="00F31B6B">
        <w:rPr>
          <w:rFonts w:ascii="Public Sans" w:eastAsia="Helvetica" w:hAnsi="Public Sans" w:cs="Segoe UI"/>
        </w:rPr>
        <w:t>5</w:t>
      </w:r>
      <w:r w:rsidRPr="00F31B6B">
        <w:rPr>
          <w:rFonts w:ascii="Public Sans" w:eastAsia="Helvetica" w:hAnsi="Public Sans" w:cs="Segoe UI"/>
        </w:rPr>
        <w:t>.</w:t>
      </w:r>
      <w:r w:rsidR="0055249D" w:rsidRPr="00F31B6B">
        <w:rPr>
          <w:rFonts w:ascii="Public Sans" w:eastAsia="Helvetica" w:hAnsi="Public Sans" w:cs="Segoe UI"/>
        </w:rPr>
        <w:t>4</w:t>
      </w:r>
      <w:r w:rsidRPr="00F31B6B">
        <w:rPr>
          <w:rFonts w:ascii="Public Sans" w:eastAsia="Helvetica" w:hAnsi="Public Sans" w:cs="Segoe UI"/>
        </w:rPr>
        <w:t>% of reports about older people</w:t>
      </w:r>
      <w:r w:rsidR="007E7A0F" w:rsidRPr="00F31B6B">
        <w:rPr>
          <w:rFonts w:ascii="Public Sans" w:eastAsia="Helvetica" w:hAnsi="Public Sans" w:cs="Segoe UI"/>
        </w:rPr>
        <w:t xml:space="preserve"> (</w:t>
      </w:r>
      <w:r w:rsidR="001B590C" w:rsidRPr="00F31B6B">
        <w:rPr>
          <w:rFonts w:ascii="Public Sans" w:eastAsia="Helvetica" w:hAnsi="Public Sans" w:cs="Segoe UI"/>
        </w:rPr>
        <w:t>2,</w:t>
      </w:r>
      <w:r w:rsidR="009527BC" w:rsidRPr="00F31B6B">
        <w:rPr>
          <w:rFonts w:ascii="Public Sans" w:eastAsia="Helvetica" w:hAnsi="Public Sans" w:cs="Segoe UI"/>
        </w:rPr>
        <w:t>42</w:t>
      </w:r>
      <w:r w:rsidR="00D21742" w:rsidRPr="00F31B6B">
        <w:rPr>
          <w:rFonts w:ascii="Public Sans" w:eastAsia="Helvetica" w:hAnsi="Public Sans" w:cs="Segoe UI"/>
        </w:rPr>
        <w:t>3</w:t>
      </w:r>
      <w:r w:rsidR="007E7A0F" w:rsidRPr="00F31B6B">
        <w:rPr>
          <w:rFonts w:ascii="Public Sans" w:eastAsia="Helvetica" w:hAnsi="Public Sans" w:cs="Segoe UI"/>
        </w:rPr>
        <w:t>),</w:t>
      </w:r>
      <w:r w:rsidRPr="00F31B6B">
        <w:rPr>
          <w:rFonts w:ascii="Public Sans" w:eastAsia="Helvetica" w:hAnsi="Public Sans" w:cs="Segoe UI"/>
        </w:rPr>
        <w:t xml:space="preserve"> and </w:t>
      </w:r>
      <w:r w:rsidR="001B590C" w:rsidRPr="00F31B6B">
        <w:rPr>
          <w:rFonts w:ascii="Public Sans" w:eastAsia="Helvetica" w:hAnsi="Public Sans" w:cs="Segoe UI"/>
        </w:rPr>
        <w:t>5</w:t>
      </w:r>
      <w:r w:rsidR="00D21742" w:rsidRPr="00F31B6B">
        <w:rPr>
          <w:rFonts w:ascii="Public Sans" w:eastAsia="Helvetica" w:hAnsi="Public Sans" w:cs="Segoe UI"/>
        </w:rPr>
        <w:t>3</w:t>
      </w:r>
      <w:r w:rsidR="001B590C" w:rsidRPr="00F31B6B">
        <w:rPr>
          <w:rFonts w:ascii="Public Sans" w:eastAsia="Helvetica" w:hAnsi="Public Sans" w:cs="Segoe UI"/>
        </w:rPr>
        <w:t>.</w:t>
      </w:r>
      <w:r w:rsidR="00D21742" w:rsidRPr="00F31B6B">
        <w:rPr>
          <w:rFonts w:ascii="Public Sans" w:eastAsia="Helvetica" w:hAnsi="Public Sans" w:cs="Segoe UI"/>
        </w:rPr>
        <w:t>0</w:t>
      </w:r>
      <w:r w:rsidRPr="00F31B6B">
        <w:rPr>
          <w:rFonts w:ascii="Public Sans" w:eastAsia="Helvetica" w:hAnsi="Public Sans" w:cs="Segoe UI"/>
        </w:rPr>
        <w:t>% of reports about adults with disability</w:t>
      </w:r>
      <w:r w:rsidR="007E7A0F" w:rsidRPr="00F31B6B">
        <w:rPr>
          <w:rFonts w:ascii="Public Sans" w:eastAsia="Helvetica" w:hAnsi="Public Sans" w:cs="Segoe UI"/>
        </w:rPr>
        <w:t xml:space="preserve"> (</w:t>
      </w:r>
      <w:r w:rsidR="00265B8D" w:rsidRPr="00F31B6B">
        <w:rPr>
          <w:rFonts w:ascii="Public Sans" w:eastAsia="Helvetica" w:hAnsi="Public Sans" w:cs="Segoe UI"/>
        </w:rPr>
        <w:t>5</w:t>
      </w:r>
      <w:r w:rsidR="00DA144F" w:rsidRPr="00F31B6B">
        <w:rPr>
          <w:rFonts w:ascii="Public Sans" w:eastAsia="Helvetica" w:hAnsi="Public Sans" w:cs="Segoe UI"/>
        </w:rPr>
        <w:t>8</w:t>
      </w:r>
      <w:r w:rsidR="00D21742" w:rsidRPr="00F31B6B">
        <w:rPr>
          <w:rFonts w:ascii="Public Sans" w:eastAsia="Helvetica" w:hAnsi="Public Sans" w:cs="Segoe UI"/>
        </w:rPr>
        <w:t>4</w:t>
      </w:r>
      <w:r w:rsidR="007E7A0F" w:rsidRPr="00F31B6B">
        <w:rPr>
          <w:rFonts w:ascii="Public Sans" w:eastAsia="Helvetica" w:hAnsi="Public Sans" w:cs="Segoe UI"/>
        </w:rPr>
        <w:t>)</w:t>
      </w:r>
      <w:r w:rsidRPr="00F31B6B">
        <w:rPr>
          <w:rFonts w:ascii="Public Sans" w:eastAsia="Helvetica" w:hAnsi="Public Sans" w:cs="Segoe UI"/>
        </w:rPr>
        <w:t xml:space="preserve">. </w:t>
      </w:r>
    </w:p>
    <w:p w14:paraId="1EE813AC" w14:textId="77777777" w:rsidR="00014357" w:rsidRPr="00F31B6B" w:rsidRDefault="00014357" w:rsidP="007A4BC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</w:p>
    <w:p w14:paraId="484776FD" w14:textId="749AC4F1" w:rsidR="003D02E4" w:rsidRPr="00F31B6B" w:rsidRDefault="00B5592F" w:rsidP="003D02E4">
      <w:pPr>
        <w:spacing w:after="0" w:line="240" w:lineRule="auto"/>
        <w:rPr>
          <w:rFonts w:ascii="Public Sans" w:hAnsi="Public Sans" w:cs="Segoe UI"/>
          <w:b/>
          <w:sz w:val="18"/>
        </w:rPr>
      </w:pPr>
      <w:r w:rsidRPr="00F31B6B">
        <w:rPr>
          <w:rFonts w:ascii="Public Sans" w:hAnsi="Public Sans" w:cs="Segoe UI"/>
          <w:b/>
          <w:sz w:val="18"/>
        </w:rPr>
        <w:t xml:space="preserve">Figure </w:t>
      </w:r>
      <w:r w:rsidR="00F31B6B">
        <w:rPr>
          <w:rFonts w:ascii="Public Sans" w:hAnsi="Public Sans" w:cs="Segoe UI"/>
          <w:b/>
          <w:sz w:val="18"/>
        </w:rPr>
        <w:t>5</w:t>
      </w:r>
      <w:r w:rsidR="003D02E4" w:rsidRPr="00F31B6B">
        <w:rPr>
          <w:rFonts w:ascii="Public Sans" w:hAnsi="Public Sans" w:cs="Segoe UI"/>
          <w:b/>
          <w:sz w:val="18"/>
        </w:rPr>
        <w:t xml:space="preserve">: Gender of </w:t>
      </w:r>
      <w:r w:rsidR="008014CA" w:rsidRPr="00F31B6B">
        <w:rPr>
          <w:rFonts w:ascii="Public Sans" w:hAnsi="Public Sans" w:cs="Segoe UI"/>
          <w:b/>
          <w:sz w:val="18"/>
        </w:rPr>
        <w:t xml:space="preserve">adults with disability and </w:t>
      </w:r>
      <w:r w:rsidR="003D02E4" w:rsidRPr="00F31B6B">
        <w:rPr>
          <w:rFonts w:ascii="Public Sans" w:hAnsi="Public Sans" w:cs="Segoe UI"/>
          <w:b/>
          <w:sz w:val="18"/>
        </w:rPr>
        <w:t xml:space="preserve">older people the subject of a report to the ADC, </w:t>
      </w:r>
      <w:r w:rsidR="00AC625E" w:rsidRPr="00F31B6B">
        <w:rPr>
          <w:rFonts w:ascii="Public Sans" w:hAnsi="Public Sans" w:cs="Segoe UI"/>
          <w:b/>
          <w:sz w:val="18"/>
        </w:rPr>
        <w:t>202</w:t>
      </w:r>
      <w:r w:rsidR="00DA144F" w:rsidRPr="00F31B6B">
        <w:rPr>
          <w:rFonts w:ascii="Public Sans" w:hAnsi="Public Sans" w:cs="Segoe UI"/>
          <w:b/>
          <w:sz w:val="18"/>
        </w:rPr>
        <w:t>3</w:t>
      </w:r>
      <w:r w:rsidR="00AC625E" w:rsidRPr="00F31B6B">
        <w:rPr>
          <w:rFonts w:ascii="Public Sans" w:hAnsi="Public Sans" w:cs="Segoe UI"/>
          <w:b/>
          <w:sz w:val="18"/>
        </w:rPr>
        <w:t>-</w:t>
      </w:r>
      <w:r w:rsidR="003D02E4" w:rsidRPr="00F31B6B">
        <w:rPr>
          <w:rFonts w:ascii="Public Sans" w:hAnsi="Public Sans" w:cs="Segoe UI"/>
          <w:b/>
          <w:sz w:val="18"/>
        </w:rPr>
        <w:t>2</w:t>
      </w:r>
      <w:r w:rsidR="001B3430" w:rsidRPr="00F31B6B">
        <w:rPr>
          <w:rFonts w:ascii="Public Sans" w:hAnsi="Public Sans" w:cs="Segoe UI"/>
          <w:b/>
          <w:sz w:val="18"/>
        </w:rPr>
        <w:t>4</w:t>
      </w:r>
    </w:p>
    <w:p w14:paraId="78ACA904" w14:textId="44DB17D1" w:rsidR="00014357" w:rsidRPr="00F31B6B" w:rsidRDefault="00FB39E6" w:rsidP="007A4BC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sz w:val="20"/>
        </w:rPr>
      </w:pPr>
      <w:r w:rsidRPr="00F31B6B">
        <w:rPr>
          <w:noProof/>
        </w:rPr>
        <w:drawing>
          <wp:inline distT="0" distB="0" distL="0" distR="0" wp14:anchorId="242D86B1" wp14:editId="25DFB9E5">
            <wp:extent cx="6153785" cy="2305050"/>
            <wp:effectExtent l="0" t="0" r="1841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2DCE7E1" w14:textId="77777777" w:rsidR="00A05113" w:rsidRDefault="00A05113" w:rsidP="008E1FFE">
      <w:pPr>
        <w:spacing w:after="0" w:line="240" w:lineRule="auto"/>
        <w:rPr>
          <w:rFonts w:ascii="Public Sans" w:hAnsi="Public Sans"/>
        </w:rPr>
      </w:pPr>
    </w:p>
    <w:p w14:paraId="223543D6" w14:textId="77777777" w:rsidR="00456A9B" w:rsidRDefault="00456A9B" w:rsidP="008E1FFE">
      <w:pPr>
        <w:spacing w:after="0" w:line="240" w:lineRule="auto"/>
        <w:rPr>
          <w:rFonts w:ascii="Public Sans" w:hAnsi="Public Sans"/>
        </w:rPr>
      </w:pPr>
    </w:p>
    <w:p w14:paraId="13450B5E" w14:textId="77777777" w:rsidR="00456A9B" w:rsidRDefault="00456A9B" w:rsidP="008E1FFE">
      <w:pPr>
        <w:spacing w:after="0" w:line="240" w:lineRule="auto"/>
        <w:rPr>
          <w:rFonts w:ascii="Public Sans" w:hAnsi="Public Sans"/>
        </w:rPr>
      </w:pPr>
    </w:p>
    <w:p w14:paraId="3FB86C18" w14:textId="77777777" w:rsidR="008E3810" w:rsidRPr="00F31B6B" w:rsidRDefault="00E134D4" w:rsidP="007A4BC6">
      <w:pPr>
        <w:pStyle w:val="Heading2"/>
        <w:spacing w:before="0"/>
        <w:rPr>
          <w:rFonts w:ascii="Public Sans" w:hAnsi="Public Sans"/>
        </w:rPr>
      </w:pPr>
      <w:r w:rsidRPr="00F31B6B">
        <w:rPr>
          <w:rFonts w:ascii="Public Sans" w:eastAsia="Helvetica" w:hAnsi="Public Sans"/>
          <w:b/>
        </w:rPr>
        <w:t xml:space="preserve">2.5 </w:t>
      </w:r>
      <w:r w:rsidR="00DA6DB3" w:rsidRPr="00F31B6B">
        <w:rPr>
          <w:rFonts w:ascii="Public Sans" w:eastAsia="Helvetica" w:hAnsi="Public Sans"/>
          <w:b/>
        </w:rPr>
        <w:t>Age</w:t>
      </w:r>
    </w:p>
    <w:p w14:paraId="2117A7E4" w14:textId="50E27C47" w:rsidR="00223CE4" w:rsidRPr="00F31B6B" w:rsidRDefault="0023234E" w:rsidP="00731794">
      <w:pPr>
        <w:spacing w:before="120" w:after="0" w:line="240" w:lineRule="auto"/>
        <w:rPr>
          <w:rFonts w:ascii="Public Sans" w:hAnsi="Public Sans" w:cs="Segoe UI"/>
        </w:rPr>
      </w:pPr>
      <w:r w:rsidRPr="00F31B6B">
        <w:rPr>
          <w:rFonts w:ascii="Public Sans" w:hAnsi="Public Sans" w:cs="Segoe UI"/>
        </w:rPr>
        <w:t xml:space="preserve">The largest proportion of </w:t>
      </w:r>
      <w:r w:rsidR="00571D1C" w:rsidRPr="00F31B6B">
        <w:rPr>
          <w:rFonts w:ascii="Public Sans" w:hAnsi="Public Sans" w:cs="Segoe UI"/>
        </w:rPr>
        <w:t xml:space="preserve">the </w:t>
      </w:r>
      <w:r w:rsidR="00727D9D" w:rsidRPr="00F31B6B">
        <w:rPr>
          <w:rFonts w:ascii="Public Sans" w:hAnsi="Public Sans" w:cs="Segoe UI"/>
        </w:rPr>
        <w:t>3,</w:t>
      </w:r>
      <w:r w:rsidR="001435BD" w:rsidRPr="00F31B6B">
        <w:rPr>
          <w:rFonts w:ascii="Public Sans" w:hAnsi="Public Sans" w:cs="Segoe UI"/>
        </w:rPr>
        <w:t>704</w:t>
      </w:r>
      <w:r w:rsidR="00571D1C" w:rsidRPr="00F31B6B">
        <w:rPr>
          <w:rFonts w:ascii="Public Sans" w:hAnsi="Public Sans" w:cs="Segoe UI"/>
        </w:rPr>
        <w:t xml:space="preserve"> </w:t>
      </w:r>
      <w:r w:rsidRPr="00F31B6B">
        <w:rPr>
          <w:rFonts w:ascii="Public Sans" w:hAnsi="Public Sans" w:cs="Segoe UI"/>
        </w:rPr>
        <w:t xml:space="preserve">reports about older people in </w:t>
      </w:r>
      <w:r w:rsidR="00E20388" w:rsidRPr="00F31B6B">
        <w:rPr>
          <w:rFonts w:ascii="Public Sans" w:hAnsi="Public Sans" w:cs="Segoe UI"/>
        </w:rPr>
        <w:t>202</w:t>
      </w:r>
      <w:r w:rsidR="00FE0B04" w:rsidRPr="00F31B6B">
        <w:rPr>
          <w:rFonts w:ascii="Public Sans" w:hAnsi="Public Sans" w:cs="Segoe UI"/>
        </w:rPr>
        <w:t>3</w:t>
      </w:r>
      <w:r w:rsidR="00E20388" w:rsidRPr="00F31B6B">
        <w:rPr>
          <w:rFonts w:ascii="Public Sans" w:hAnsi="Public Sans" w:cs="Segoe UI"/>
        </w:rPr>
        <w:t>-</w:t>
      </w:r>
      <w:r w:rsidRPr="00F31B6B">
        <w:rPr>
          <w:rFonts w:ascii="Public Sans" w:hAnsi="Public Sans" w:cs="Segoe UI"/>
        </w:rPr>
        <w:t>2</w:t>
      </w:r>
      <w:r w:rsidR="00FE0B04" w:rsidRPr="00F31B6B">
        <w:rPr>
          <w:rFonts w:ascii="Public Sans" w:hAnsi="Public Sans" w:cs="Segoe UI"/>
        </w:rPr>
        <w:t>4</w:t>
      </w:r>
      <w:r w:rsidRPr="00F31B6B">
        <w:rPr>
          <w:rFonts w:ascii="Public Sans" w:hAnsi="Public Sans" w:cs="Segoe UI"/>
        </w:rPr>
        <w:t xml:space="preserve"> related to people aged </w:t>
      </w:r>
      <w:r w:rsidR="0066276A" w:rsidRPr="00F31B6B">
        <w:rPr>
          <w:rFonts w:ascii="Public Sans" w:hAnsi="Public Sans" w:cs="Segoe UI"/>
        </w:rPr>
        <w:t>8</w:t>
      </w:r>
      <w:r w:rsidR="002C1A2C" w:rsidRPr="00F31B6B">
        <w:rPr>
          <w:rFonts w:ascii="Public Sans" w:hAnsi="Public Sans" w:cs="Segoe UI"/>
        </w:rPr>
        <w:t>0</w:t>
      </w:r>
      <w:r w:rsidR="0066276A" w:rsidRPr="00F31B6B">
        <w:rPr>
          <w:rFonts w:ascii="Public Sans" w:hAnsi="Public Sans" w:cs="Segoe UI"/>
        </w:rPr>
        <w:t>-8</w:t>
      </w:r>
      <w:r w:rsidR="002C1A2C" w:rsidRPr="00F31B6B">
        <w:rPr>
          <w:rFonts w:ascii="Public Sans" w:hAnsi="Public Sans" w:cs="Segoe UI"/>
        </w:rPr>
        <w:t>4</w:t>
      </w:r>
      <w:r w:rsidRPr="00F31B6B">
        <w:rPr>
          <w:rFonts w:ascii="Public Sans" w:hAnsi="Public Sans" w:cs="Segoe UI"/>
        </w:rPr>
        <w:t xml:space="preserve"> years</w:t>
      </w:r>
      <w:r w:rsidR="00DD299A" w:rsidRPr="00F31B6B">
        <w:rPr>
          <w:rFonts w:ascii="Public Sans" w:hAnsi="Public Sans" w:cs="Segoe UI"/>
        </w:rPr>
        <w:t xml:space="preserve"> (</w:t>
      </w:r>
      <w:r w:rsidR="00FE0B04" w:rsidRPr="00F31B6B">
        <w:rPr>
          <w:rFonts w:ascii="Public Sans" w:hAnsi="Public Sans" w:cs="Segoe UI"/>
        </w:rPr>
        <w:t>19</w:t>
      </w:r>
      <w:r w:rsidR="002C1A2C" w:rsidRPr="00F31B6B">
        <w:rPr>
          <w:rFonts w:ascii="Public Sans" w:hAnsi="Public Sans" w:cs="Segoe UI"/>
        </w:rPr>
        <w:t>.</w:t>
      </w:r>
      <w:r w:rsidR="00FE0B04" w:rsidRPr="00F31B6B">
        <w:rPr>
          <w:rFonts w:ascii="Public Sans" w:hAnsi="Public Sans" w:cs="Segoe UI"/>
        </w:rPr>
        <w:t>2</w:t>
      </w:r>
      <w:r w:rsidR="00DD299A" w:rsidRPr="00F31B6B">
        <w:rPr>
          <w:rFonts w:ascii="Public Sans" w:hAnsi="Public Sans" w:cs="Segoe UI"/>
        </w:rPr>
        <w:t>%)</w:t>
      </w:r>
      <w:r w:rsidRPr="00F31B6B">
        <w:rPr>
          <w:rFonts w:ascii="Public Sans" w:hAnsi="Public Sans" w:cs="Segoe UI"/>
        </w:rPr>
        <w:t xml:space="preserve">. </w:t>
      </w:r>
      <w:r w:rsidR="00DD299A" w:rsidRPr="00F31B6B">
        <w:rPr>
          <w:rFonts w:ascii="Public Sans" w:hAnsi="Public Sans" w:cs="Segoe UI"/>
        </w:rPr>
        <w:t>T</w:t>
      </w:r>
      <w:r w:rsidR="00644E3D" w:rsidRPr="00F31B6B">
        <w:rPr>
          <w:rFonts w:ascii="Public Sans" w:hAnsi="Public Sans" w:cs="Segoe UI"/>
        </w:rPr>
        <w:t xml:space="preserve">he largest proportion of </w:t>
      </w:r>
      <w:r w:rsidR="00DD299A" w:rsidRPr="00F31B6B">
        <w:rPr>
          <w:rFonts w:ascii="Public Sans" w:hAnsi="Public Sans" w:cs="Segoe UI"/>
        </w:rPr>
        <w:t xml:space="preserve">the </w:t>
      </w:r>
      <w:r w:rsidR="00265B8D" w:rsidRPr="00F31B6B">
        <w:rPr>
          <w:rFonts w:ascii="Public Sans" w:hAnsi="Public Sans" w:cs="Segoe UI"/>
        </w:rPr>
        <w:t>1,</w:t>
      </w:r>
      <w:r w:rsidR="00CE21E2" w:rsidRPr="00F31B6B">
        <w:rPr>
          <w:rFonts w:ascii="Public Sans" w:hAnsi="Public Sans" w:cs="Segoe UI"/>
        </w:rPr>
        <w:t>102</w:t>
      </w:r>
      <w:r w:rsidR="00DD299A" w:rsidRPr="00F31B6B">
        <w:rPr>
          <w:rFonts w:ascii="Public Sans" w:hAnsi="Public Sans" w:cs="Segoe UI"/>
        </w:rPr>
        <w:t xml:space="preserve"> </w:t>
      </w:r>
      <w:r w:rsidR="00644E3D" w:rsidRPr="00F31B6B">
        <w:rPr>
          <w:rFonts w:ascii="Public Sans" w:hAnsi="Public Sans" w:cs="Segoe UI"/>
        </w:rPr>
        <w:t xml:space="preserve">reports </w:t>
      </w:r>
      <w:r w:rsidR="00DD299A" w:rsidRPr="00F31B6B">
        <w:rPr>
          <w:rFonts w:ascii="Public Sans" w:hAnsi="Public Sans" w:cs="Segoe UI"/>
        </w:rPr>
        <w:t xml:space="preserve">about adults with disability </w:t>
      </w:r>
      <w:r w:rsidR="00644E3D" w:rsidRPr="00F31B6B">
        <w:rPr>
          <w:rFonts w:ascii="Public Sans" w:hAnsi="Public Sans" w:cs="Segoe UI"/>
        </w:rPr>
        <w:t xml:space="preserve">related to people aged </w:t>
      </w:r>
      <w:r w:rsidR="002C1A2C" w:rsidRPr="00F31B6B">
        <w:rPr>
          <w:rFonts w:ascii="Public Sans" w:hAnsi="Public Sans" w:cs="Segoe UI"/>
        </w:rPr>
        <w:t xml:space="preserve">18-24 </w:t>
      </w:r>
      <w:r w:rsidR="00644E3D" w:rsidRPr="00F31B6B">
        <w:rPr>
          <w:rFonts w:ascii="Public Sans" w:hAnsi="Public Sans" w:cs="Segoe UI"/>
        </w:rPr>
        <w:t>years</w:t>
      </w:r>
      <w:r w:rsidR="00DD299A" w:rsidRPr="00F31B6B">
        <w:rPr>
          <w:rFonts w:ascii="Public Sans" w:hAnsi="Public Sans" w:cs="Segoe UI"/>
        </w:rPr>
        <w:t xml:space="preserve"> (</w:t>
      </w:r>
      <w:r w:rsidR="000C3AE5" w:rsidRPr="00F31B6B">
        <w:rPr>
          <w:rFonts w:ascii="Public Sans" w:hAnsi="Public Sans" w:cs="Segoe UI"/>
        </w:rPr>
        <w:t>1</w:t>
      </w:r>
      <w:r w:rsidR="00EC7FCC" w:rsidRPr="00F31B6B">
        <w:rPr>
          <w:rFonts w:ascii="Public Sans" w:hAnsi="Public Sans" w:cs="Segoe UI"/>
        </w:rPr>
        <w:t>9</w:t>
      </w:r>
      <w:r w:rsidR="00731794" w:rsidRPr="00F31B6B">
        <w:rPr>
          <w:rFonts w:ascii="Public Sans" w:hAnsi="Public Sans" w:cs="Segoe UI"/>
        </w:rPr>
        <w:t>.</w:t>
      </w:r>
      <w:r w:rsidR="00185000" w:rsidRPr="00F31B6B">
        <w:rPr>
          <w:rFonts w:ascii="Public Sans" w:hAnsi="Public Sans" w:cs="Segoe UI"/>
        </w:rPr>
        <w:t>9</w:t>
      </w:r>
      <w:r w:rsidR="00DD299A" w:rsidRPr="00F31B6B">
        <w:rPr>
          <w:rFonts w:ascii="Public Sans" w:hAnsi="Public Sans" w:cs="Segoe UI"/>
        </w:rPr>
        <w:t>%)</w:t>
      </w:r>
      <w:r w:rsidR="00644E3D" w:rsidRPr="00F31B6B">
        <w:rPr>
          <w:rFonts w:ascii="Public Sans" w:hAnsi="Public Sans" w:cs="Segoe UI"/>
        </w:rPr>
        <w:t xml:space="preserve">. </w:t>
      </w:r>
      <w:r w:rsidR="00DC377E" w:rsidRPr="00F31B6B">
        <w:rPr>
          <w:rFonts w:ascii="Public Sans" w:hAnsi="Public Sans" w:cs="Segoe UI"/>
        </w:rPr>
        <w:t xml:space="preserve">These results are consistent with </w:t>
      </w:r>
      <w:r w:rsidR="00731794" w:rsidRPr="00F31B6B">
        <w:rPr>
          <w:rFonts w:ascii="Public Sans" w:hAnsi="Public Sans" w:cs="Segoe UI"/>
        </w:rPr>
        <w:t>previous years</w:t>
      </w:r>
      <w:r w:rsidR="00DC377E" w:rsidRPr="00F31B6B">
        <w:rPr>
          <w:rFonts w:ascii="Public Sans" w:hAnsi="Public Sans" w:cs="Segoe UI"/>
        </w:rPr>
        <w:t>.</w:t>
      </w:r>
    </w:p>
    <w:p w14:paraId="2390A122" w14:textId="77777777" w:rsidR="00223CE4" w:rsidRPr="00F31B6B" w:rsidRDefault="00223CE4" w:rsidP="007A4BC6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2A563156" w14:textId="77777777" w:rsidR="006009CD" w:rsidRPr="00F31B6B" w:rsidRDefault="006009CD" w:rsidP="00731794">
      <w:pPr>
        <w:spacing w:before="120" w:after="0" w:line="240" w:lineRule="auto"/>
        <w:rPr>
          <w:rFonts w:ascii="Public Sans" w:hAnsi="Public Sans" w:cs="Segoe UI"/>
          <w:b/>
          <w:sz w:val="18"/>
        </w:rPr>
      </w:pPr>
    </w:p>
    <w:p w14:paraId="31C2BE82" w14:textId="77777777" w:rsidR="006009CD" w:rsidRPr="00F31B6B" w:rsidRDefault="006009CD" w:rsidP="00731794">
      <w:pPr>
        <w:spacing w:before="120" w:after="0" w:line="240" w:lineRule="auto"/>
        <w:rPr>
          <w:rFonts w:ascii="Public Sans" w:hAnsi="Public Sans" w:cs="Segoe UI"/>
          <w:b/>
          <w:sz w:val="18"/>
        </w:rPr>
      </w:pPr>
    </w:p>
    <w:p w14:paraId="7E825DE1" w14:textId="4EBB9692" w:rsidR="00A514ED" w:rsidRPr="00F31B6B" w:rsidRDefault="004A4FD0" w:rsidP="00731794">
      <w:pPr>
        <w:spacing w:before="120" w:after="0" w:line="240" w:lineRule="auto"/>
        <w:rPr>
          <w:rFonts w:ascii="Public Sans" w:hAnsi="Public Sans" w:cs="Segoe UI"/>
          <w:b/>
          <w:sz w:val="18"/>
        </w:rPr>
      </w:pPr>
      <w:r w:rsidRPr="00F31B6B">
        <w:rPr>
          <w:rFonts w:ascii="Public Sans" w:hAnsi="Public Sans" w:cs="Segoe UI"/>
          <w:b/>
          <w:sz w:val="18"/>
        </w:rPr>
        <w:t>Figure</w:t>
      </w:r>
      <w:r w:rsidR="008E3810" w:rsidRPr="00F31B6B">
        <w:rPr>
          <w:rFonts w:ascii="Public Sans" w:hAnsi="Public Sans" w:cs="Segoe UI"/>
          <w:b/>
          <w:sz w:val="18"/>
        </w:rPr>
        <w:t xml:space="preserve"> </w:t>
      </w:r>
      <w:r w:rsidR="00F31B6B">
        <w:rPr>
          <w:rFonts w:ascii="Public Sans" w:hAnsi="Public Sans" w:cs="Segoe UI"/>
          <w:b/>
          <w:sz w:val="18"/>
        </w:rPr>
        <w:t>6</w:t>
      </w:r>
      <w:r w:rsidR="008E3810" w:rsidRPr="00F31B6B">
        <w:rPr>
          <w:rFonts w:ascii="Public Sans" w:hAnsi="Public Sans" w:cs="Segoe UI"/>
          <w:b/>
          <w:sz w:val="18"/>
        </w:rPr>
        <w:t xml:space="preserve">: Age of </w:t>
      </w:r>
      <w:r w:rsidR="00613BBE" w:rsidRPr="00F31B6B">
        <w:rPr>
          <w:rFonts w:ascii="Public Sans" w:hAnsi="Public Sans" w:cs="Segoe UI"/>
          <w:b/>
          <w:sz w:val="18"/>
        </w:rPr>
        <w:t>older people</w:t>
      </w:r>
      <w:r w:rsidR="008E3810" w:rsidRPr="00F31B6B">
        <w:rPr>
          <w:rFonts w:ascii="Public Sans" w:hAnsi="Public Sans" w:cs="Segoe UI"/>
          <w:b/>
          <w:sz w:val="18"/>
        </w:rPr>
        <w:t xml:space="preserve"> the subject of a report to the ADC, </w:t>
      </w:r>
      <w:r w:rsidR="00E20388" w:rsidRPr="00F31B6B">
        <w:rPr>
          <w:rFonts w:ascii="Public Sans" w:hAnsi="Public Sans" w:cs="Segoe UI"/>
          <w:b/>
          <w:sz w:val="18"/>
        </w:rPr>
        <w:t>202</w:t>
      </w:r>
      <w:r w:rsidR="003C7075" w:rsidRPr="00F31B6B">
        <w:rPr>
          <w:rFonts w:ascii="Public Sans" w:hAnsi="Public Sans" w:cs="Segoe UI"/>
          <w:b/>
          <w:sz w:val="18"/>
        </w:rPr>
        <w:t>3</w:t>
      </w:r>
      <w:r w:rsidR="00E20388" w:rsidRPr="00F31B6B">
        <w:rPr>
          <w:rFonts w:ascii="Public Sans" w:hAnsi="Public Sans" w:cs="Segoe UI"/>
          <w:b/>
          <w:sz w:val="18"/>
        </w:rPr>
        <w:t>-</w:t>
      </w:r>
      <w:r w:rsidR="008E3810" w:rsidRPr="00F31B6B">
        <w:rPr>
          <w:rFonts w:ascii="Public Sans" w:hAnsi="Public Sans" w:cs="Segoe UI"/>
          <w:b/>
          <w:sz w:val="18"/>
        </w:rPr>
        <w:t>2</w:t>
      </w:r>
      <w:r w:rsidR="003C7075" w:rsidRPr="00F31B6B">
        <w:rPr>
          <w:rFonts w:ascii="Public Sans" w:hAnsi="Public Sans" w:cs="Segoe UI"/>
          <w:b/>
          <w:sz w:val="18"/>
        </w:rPr>
        <w:t>4</w:t>
      </w:r>
    </w:p>
    <w:p w14:paraId="6A587A58" w14:textId="38FEF271" w:rsidR="006816DF" w:rsidRPr="00F31B6B" w:rsidRDefault="006009CD" w:rsidP="004A4FD0">
      <w:pPr>
        <w:spacing w:after="0" w:line="240" w:lineRule="auto"/>
        <w:rPr>
          <w:rFonts w:ascii="Public Sans" w:hAnsi="Public Sans" w:cs="Segoe UI"/>
          <w:b/>
          <w:sz w:val="20"/>
        </w:rPr>
      </w:pPr>
      <w:r w:rsidRPr="00F31B6B">
        <w:rPr>
          <w:noProof/>
        </w:rPr>
        <w:drawing>
          <wp:inline distT="0" distB="0" distL="0" distR="0" wp14:anchorId="27A7A15C" wp14:editId="1093FCA2">
            <wp:extent cx="6119495" cy="2324100"/>
            <wp:effectExtent l="0" t="0" r="14605" b="0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F5A7AAD" w14:textId="77777777" w:rsidR="00FA1892" w:rsidRPr="00F31B6B" w:rsidRDefault="00FA1892" w:rsidP="004A4FD0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2D213097" w14:textId="5A320198" w:rsidR="00A514ED" w:rsidRPr="00F31B6B" w:rsidRDefault="004A4FD0" w:rsidP="00731794">
      <w:pPr>
        <w:spacing w:before="120" w:after="0" w:line="240" w:lineRule="auto"/>
        <w:rPr>
          <w:rFonts w:ascii="Public Sans" w:hAnsi="Public Sans" w:cs="Segoe UI"/>
          <w:b/>
          <w:sz w:val="18"/>
        </w:rPr>
      </w:pPr>
      <w:r w:rsidRPr="00F31B6B">
        <w:rPr>
          <w:rFonts w:ascii="Public Sans" w:hAnsi="Public Sans" w:cs="Segoe UI"/>
          <w:b/>
          <w:sz w:val="18"/>
        </w:rPr>
        <w:t xml:space="preserve">Figure </w:t>
      </w:r>
      <w:r w:rsidR="00F31B6B">
        <w:rPr>
          <w:rFonts w:ascii="Public Sans" w:hAnsi="Public Sans" w:cs="Segoe UI"/>
          <w:b/>
          <w:sz w:val="18"/>
        </w:rPr>
        <w:t>7</w:t>
      </w:r>
      <w:r w:rsidRPr="00F31B6B">
        <w:rPr>
          <w:rFonts w:ascii="Public Sans" w:hAnsi="Public Sans" w:cs="Segoe UI"/>
          <w:b/>
          <w:sz w:val="18"/>
        </w:rPr>
        <w:t xml:space="preserve">: Age of adults with disability the subject of a report to the ADC, </w:t>
      </w:r>
      <w:r w:rsidR="00E20388" w:rsidRPr="00F31B6B">
        <w:rPr>
          <w:rFonts w:ascii="Public Sans" w:hAnsi="Public Sans" w:cs="Segoe UI"/>
          <w:b/>
          <w:sz w:val="18"/>
        </w:rPr>
        <w:t>202</w:t>
      </w:r>
      <w:r w:rsidR="00E76116" w:rsidRPr="00F31B6B">
        <w:rPr>
          <w:rFonts w:ascii="Public Sans" w:hAnsi="Public Sans" w:cs="Segoe UI"/>
          <w:b/>
          <w:sz w:val="18"/>
        </w:rPr>
        <w:t>3</w:t>
      </w:r>
      <w:r w:rsidR="00E20388" w:rsidRPr="00F31B6B">
        <w:rPr>
          <w:rFonts w:ascii="Public Sans" w:hAnsi="Public Sans" w:cs="Segoe UI"/>
          <w:b/>
          <w:sz w:val="18"/>
        </w:rPr>
        <w:t>-</w:t>
      </w:r>
      <w:r w:rsidRPr="00F31B6B">
        <w:rPr>
          <w:rFonts w:ascii="Public Sans" w:hAnsi="Public Sans" w:cs="Segoe UI"/>
          <w:b/>
          <w:sz w:val="18"/>
        </w:rPr>
        <w:t>2</w:t>
      </w:r>
      <w:r w:rsidR="00E76116" w:rsidRPr="00F31B6B">
        <w:rPr>
          <w:rFonts w:ascii="Public Sans" w:hAnsi="Public Sans" w:cs="Segoe UI"/>
          <w:b/>
          <w:sz w:val="18"/>
        </w:rPr>
        <w:t>4</w:t>
      </w:r>
    </w:p>
    <w:p w14:paraId="6D51E05A" w14:textId="304E60C6" w:rsidR="006816DF" w:rsidRPr="00F31B6B" w:rsidRDefault="00E76116" w:rsidP="004A4FD0">
      <w:pPr>
        <w:spacing w:after="0" w:line="240" w:lineRule="auto"/>
        <w:rPr>
          <w:rFonts w:ascii="Public Sans" w:hAnsi="Public Sans" w:cs="Segoe UI"/>
          <w:b/>
          <w:sz w:val="20"/>
        </w:rPr>
      </w:pPr>
      <w:r w:rsidRPr="00F31B6B">
        <w:rPr>
          <w:noProof/>
        </w:rPr>
        <w:drawing>
          <wp:inline distT="0" distB="0" distL="0" distR="0" wp14:anchorId="49E36193" wp14:editId="63570A97">
            <wp:extent cx="6119495" cy="2324100"/>
            <wp:effectExtent l="0" t="0" r="14605" b="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162A7FE" w14:textId="77777777" w:rsidR="00456A9B" w:rsidRPr="00F31B6B" w:rsidRDefault="00456A9B" w:rsidP="004A4FD0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484427B8" w14:textId="77777777" w:rsidR="00A7657E" w:rsidRPr="00F31B6B" w:rsidRDefault="00E134D4" w:rsidP="007A4BC6">
      <w:pPr>
        <w:pStyle w:val="Heading2"/>
        <w:spacing w:before="0"/>
        <w:rPr>
          <w:rFonts w:ascii="Public Sans" w:eastAsia="Helvetica" w:hAnsi="Public Sans"/>
          <w:b/>
        </w:rPr>
      </w:pPr>
      <w:r w:rsidRPr="00F31B6B">
        <w:rPr>
          <w:rFonts w:ascii="Public Sans" w:eastAsia="Helvetica" w:hAnsi="Public Sans"/>
          <w:b/>
        </w:rPr>
        <w:t xml:space="preserve">2.6 </w:t>
      </w:r>
      <w:r w:rsidR="00A7657E" w:rsidRPr="00F31B6B">
        <w:rPr>
          <w:rFonts w:ascii="Public Sans" w:eastAsia="Helvetica" w:hAnsi="Public Sans"/>
          <w:b/>
        </w:rPr>
        <w:t>Location</w:t>
      </w:r>
      <w:r w:rsidR="009F035E" w:rsidRPr="00F31B6B">
        <w:rPr>
          <w:rFonts w:ascii="Public Sans" w:eastAsia="Helvetica" w:hAnsi="Public Sans"/>
          <w:b/>
        </w:rPr>
        <w:t xml:space="preserve"> of person</w:t>
      </w:r>
    </w:p>
    <w:p w14:paraId="79B4A52B" w14:textId="3FF22B55" w:rsidR="00801BB6" w:rsidRPr="00F31B6B" w:rsidRDefault="00936332" w:rsidP="00B5592F">
      <w:pPr>
        <w:spacing w:before="120" w:after="0" w:line="240" w:lineRule="auto"/>
        <w:rPr>
          <w:rFonts w:ascii="Public Sans" w:hAnsi="Public Sans" w:cs="Segoe UI"/>
        </w:rPr>
      </w:pPr>
      <w:r w:rsidRPr="00F31B6B">
        <w:rPr>
          <w:rFonts w:ascii="Public Sans" w:hAnsi="Public Sans" w:cs="Segoe UI"/>
        </w:rPr>
        <w:t xml:space="preserve">Of the </w:t>
      </w:r>
      <w:r w:rsidR="00185000" w:rsidRPr="00F31B6B">
        <w:rPr>
          <w:rFonts w:ascii="Public Sans" w:hAnsi="Public Sans" w:cs="Segoe UI"/>
        </w:rPr>
        <w:t>3</w:t>
      </w:r>
      <w:r w:rsidR="00731794" w:rsidRPr="00F31B6B">
        <w:rPr>
          <w:rFonts w:ascii="Public Sans" w:hAnsi="Public Sans" w:cs="Segoe UI"/>
        </w:rPr>
        <w:t>,</w:t>
      </w:r>
      <w:r w:rsidR="006E1386" w:rsidRPr="00F31B6B">
        <w:rPr>
          <w:rFonts w:ascii="Public Sans" w:hAnsi="Public Sans" w:cs="Segoe UI"/>
        </w:rPr>
        <w:t>947</w:t>
      </w:r>
      <w:r w:rsidR="00731794" w:rsidRPr="00F31B6B">
        <w:rPr>
          <w:rFonts w:ascii="Public Sans" w:hAnsi="Public Sans" w:cs="Segoe UI"/>
        </w:rPr>
        <w:t xml:space="preserve"> </w:t>
      </w:r>
      <w:r w:rsidRPr="00F31B6B">
        <w:rPr>
          <w:rFonts w:ascii="Public Sans" w:hAnsi="Public Sans" w:cs="Segoe UI"/>
        </w:rPr>
        <w:t xml:space="preserve">reports </w:t>
      </w:r>
      <w:r w:rsidR="001B1AAB" w:rsidRPr="00F31B6B">
        <w:rPr>
          <w:rFonts w:ascii="Public Sans" w:hAnsi="Public Sans" w:cs="Segoe UI"/>
        </w:rPr>
        <w:t>to the ADC</w:t>
      </w:r>
      <w:r w:rsidR="00C16F1E" w:rsidRPr="00F31B6B">
        <w:rPr>
          <w:rFonts w:ascii="Public Sans" w:hAnsi="Public Sans" w:cs="Segoe UI"/>
        </w:rPr>
        <w:t xml:space="preserve"> in </w:t>
      </w:r>
      <w:r w:rsidR="00AF0BD7" w:rsidRPr="00F31B6B">
        <w:rPr>
          <w:rFonts w:ascii="Public Sans" w:hAnsi="Public Sans" w:cs="Segoe UI"/>
        </w:rPr>
        <w:t>202</w:t>
      </w:r>
      <w:r w:rsidR="00263A6D" w:rsidRPr="00F31B6B">
        <w:rPr>
          <w:rFonts w:ascii="Public Sans" w:hAnsi="Public Sans" w:cs="Segoe UI"/>
        </w:rPr>
        <w:t>3</w:t>
      </w:r>
      <w:r w:rsidR="00AF0BD7" w:rsidRPr="00F31B6B">
        <w:rPr>
          <w:rFonts w:ascii="Public Sans" w:hAnsi="Public Sans" w:cs="Segoe UI"/>
        </w:rPr>
        <w:t>-</w:t>
      </w:r>
      <w:r w:rsidR="00C16F1E" w:rsidRPr="00F31B6B">
        <w:rPr>
          <w:rFonts w:ascii="Public Sans" w:hAnsi="Public Sans" w:cs="Segoe UI"/>
        </w:rPr>
        <w:t>2</w:t>
      </w:r>
      <w:r w:rsidR="00263A6D" w:rsidRPr="00F31B6B">
        <w:rPr>
          <w:rFonts w:ascii="Public Sans" w:hAnsi="Public Sans" w:cs="Segoe UI"/>
        </w:rPr>
        <w:t>4</w:t>
      </w:r>
      <w:r w:rsidR="001B1AAB" w:rsidRPr="00F31B6B">
        <w:rPr>
          <w:rFonts w:ascii="Public Sans" w:hAnsi="Public Sans" w:cs="Segoe UI"/>
        </w:rPr>
        <w:t xml:space="preserve"> </w:t>
      </w:r>
      <w:r w:rsidRPr="00F31B6B">
        <w:rPr>
          <w:rFonts w:ascii="Public Sans" w:hAnsi="Public Sans" w:cs="Segoe UI"/>
        </w:rPr>
        <w:t xml:space="preserve">in which the location of the person was known, </w:t>
      </w:r>
      <w:r w:rsidR="00C16F1E" w:rsidRPr="00F31B6B">
        <w:rPr>
          <w:rFonts w:ascii="Public Sans" w:hAnsi="Public Sans" w:cs="Segoe UI"/>
        </w:rPr>
        <w:t>regional NSW</w:t>
      </w:r>
      <w:r w:rsidR="00801BB6" w:rsidRPr="00F31B6B">
        <w:rPr>
          <w:rFonts w:ascii="Public Sans" w:hAnsi="Public Sans" w:cs="Segoe UI"/>
        </w:rPr>
        <w:t xml:space="preserve"> </w:t>
      </w:r>
      <w:r w:rsidRPr="00F31B6B">
        <w:rPr>
          <w:rFonts w:ascii="Public Sans" w:hAnsi="Public Sans" w:cs="Segoe UI"/>
        </w:rPr>
        <w:t>accounted fo</w:t>
      </w:r>
      <w:r w:rsidR="001B1AAB" w:rsidRPr="00F31B6B">
        <w:rPr>
          <w:rFonts w:ascii="Public Sans" w:hAnsi="Public Sans" w:cs="Segoe UI"/>
        </w:rPr>
        <w:t>r</w:t>
      </w:r>
      <w:r w:rsidR="006135A6" w:rsidRPr="00F31B6B">
        <w:rPr>
          <w:rFonts w:ascii="Public Sans" w:hAnsi="Public Sans" w:cs="Segoe UI"/>
        </w:rPr>
        <w:t xml:space="preserve"> </w:t>
      </w:r>
      <w:r w:rsidR="00370E0A" w:rsidRPr="00F31B6B">
        <w:rPr>
          <w:rFonts w:ascii="Public Sans" w:hAnsi="Public Sans" w:cs="Segoe UI"/>
        </w:rPr>
        <w:t xml:space="preserve">over </w:t>
      </w:r>
      <w:r w:rsidR="001B1AAB" w:rsidRPr="00F31B6B">
        <w:rPr>
          <w:rFonts w:ascii="Public Sans" w:hAnsi="Public Sans" w:cs="Segoe UI"/>
        </w:rPr>
        <w:t>half of the reports</w:t>
      </w:r>
      <w:r w:rsidRPr="00F31B6B">
        <w:rPr>
          <w:rFonts w:ascii="Public Sans" w:hAnsi="Public Sans" w:cs="Segoe UI"/>
        </w:rPr>
        <w:t xml:space="preserve"> (</w:t>
      </w:r>
      <w:r w:rsidR="00FA75C3" w:rsidRPr="00F31B6B">
        <w:rPr>
          <w:rFonts w:ascii="Public Sans" w:hAnsi="Public Sans" w:cs="Segoe UI"/>
        </w:rPr>
        <w:t>2,170</w:t>
      </w:r>
      <w:r w:rsidRPr="00F31B6B">
        <w:rPr>
          <w:rFonts w:ascii="Public Sans" w:hAnsi="Public Sans" w:cs="Segoe UI"/>
        </w:rPr>
        <w:t>; 5</w:t>
      </w:r>
      <w:r w:rsidR="00BD20A5" w:rsidRPr="00F31B6B">
        <w:rPr>
          <w:rFonts w:ascii="Public Sans" w:hAnsi="Public Sans" w:cs="Segoe UI"/>
        </w:rPr>
        <w:t>5</w:t>
      </w:r>
      <w:r w:rsidR="00CA2502" w:rsidRPr="00F31B6B">
        <w:rPr>
          <w:rFonts w:ascii="Public Sans" w:hAnsi="Public Sans" w:cs="Segoe UI"/>
        </w:rPr>
        <w:t>.</w:t>
      </w:r>
      <w:r w:rsidR="00BD20A5" w:rsidRPr="00F31B6B">
        <w:rPr>
          <w:rFonts w:ascii="Public Sans" w:hAnsi="Public Sans" w:cs="Segoe UI"/>
        </w:rPr>
        <w:t>0</w:t>
      </w:r>
      <w:r w:rsidRPr="00F31B6B">
        <w:rPr>
          <w:rFonts w:ascii="Public Sans" w:hAnsi="Public Sans" w:cs="Segoe UI"/>
        </w:rPr>
        <w:t xml:space="preserve">%). Of the regional areas, </w:t>
      </w:r>
      <w:r w:rsidR="00AF0BD7" w:rsidRPr="00F31B6B">
        <w:rPr>
          <w:rFonts w:ascii="Public Sans" w:hAnsi="Public Sans" w:cs="Segoe UI"/>
        </w:rPr>
        <w:t xml:space="preserve">Hunter, </w:t>
      </w:r>
      <w:r w:rsidRPr="00F31B6B">
        <w:rPr>
          <w:rFonts w:ascii="Public Sans" w:hAnsi="Public Sans" w:cs="Segoe UI"/>
        </w:rPr>
        <w:t>Illawarra Shoalha</w:t>
      </w:r>
      <w:r w:rsidR="00983CC4" w:rsidRPr="00F31B6B">
        <w:rPr>
          <w:rFonts w:ascii="Public Sans" w:hAnsi="Public Sans" w:cs="Segoe UI"/>
        </w:rPr>
        <w:t>ven</w:t>
      </w:r>
      <w:r w:rsidR="006135A6" w:rsidRPr="00F31B6B">
        <w:rPr>
          <w:rFonts w:ascii="Public Sans" w:hAnsi="Public Sans" w:cs="Segoe UI"/>
        </w:rPr>
        <w:t xml:space="preserve">, </w:t>
      </w:r>
      <w:r w:rsidR="00983CC4" w:rsidRPr="00F31B6B">
        <w:rPr>
          <w:rFonts w:ascii="Public Sans" w:hAnsi="Public Sans" w:cs="Segoe UI"/>
        </w:rPr>
        <w:t xml:space="preserve">and </w:t>
      </w:r>
      <w:r w:rsidR="006135A6" w:rsidRPr="00F31B6B">
        <w:rPr>
          <w:rFonts w:ascii="Public Sans" w:hAnsi="Public Sans" w:cs="Segoe UI"/>
        </w:rPr>
        <w:t xml:space="preserve">Central Coast </w:t>
      </w:r>
      <w:r w:rsidRPr="00F31B6B">
        <w:rPr>
          <w:rFonts w:ascii="Public Sans" w:hAnsi="Public Sans" w:cs="Segoe UI"/>
        </w:rPr>
        <w:t>featured most often</w:t>
      </w:r>
      <w:r w:rsidR="00BC47A9">
        <w:rPr>
          <w:rFonts w:ascii="Public Sans" w:hAnsi="Public Sans" w:cs="Segoe UI"/>
        </w:rPr>
        <w:t xml:space="preserve">, </w:t>
      </w:r>
      <w:r w:rsidR="00FF7C50" w:rsidRPr="00F31B6B">
        <w:rPr>
          <w:rFonts w:ascii="Public Sans" w:hAnsi="Public Sans" w:cs="Segoe UI"/>
        </w:rPr>
        <w:t>consistent with previous year</w:t>
      </w:r>
      <w:r w:rsidR="00CA2502" w:rsidRPr="00F31B6B">
        <w:rPr>
          <w:rFonts w:ascii="Public Sans" w:hAnsi="Public Sans" w:cs="Segoe UI"/>
        </w:rPr>
        <w:t>s</w:t>
      </w:r>
      <w:r w:rsidR="00FF7C50" w:rsidRPr="00F31B6B">
        <w:rPr>
          <w:rFonts w:ascii="Public Sans" w:hAnsi="Public Sans" w:cs="Segoe UI"/>
        </w:rPr>
        <w:t xml:space="preserve">. </w:t>
      </w:r>
    </w:p>
    <w:p w14:paraId="22314EF8" w14:textId="77777777" w:rsidR="00E40960" w:rsidRPr="00F31B6B" w:rsidRDefault="00E40960" w:rsidP="00F87A11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58AF4CBF" w14:textId="3F2231E0" w:rsidR="009F035E" w:rsidRPr="00F31B6B" w:rsidRDefault="004A4FD0" w:rsidP="007A4BC6">
      <w:pPr>
        <w:spacing w:after="0" w:line="240" w:lineRule="auto"/>
        <w:rPr>
          <w:rFonts w:ascii="Public Sans" w:hAnsi="Public Sans" w:cs="Segoe UI"/>
          <w:b/>
          <w:sz w:val="18"/>
        </w:rPr>
      </w:pPr>
      <w:r w:rsidRPr="00F31B6B">
        <w:rPr>
          <w:rFonts w:ascii="Public Sans" w:hAnsi="Public Sans" w:cs="Segoe UI"/>
          <w:b/>
          <w:sz w:val="18"/>
        </w:rPr>
        <w:t>Figure</w:t>
      </w:r>
      <w:r w:rsidR="009F035E" w:rsidRPr="00F31B6B">
        <w:rPr>
          <w:rFonts w:ascii="Public Sans" w:hAnsi="Public Sans" w:cs="Segoe UI"/>
          <w:b/>
          <w:sz w:val="18"/>
        </w:rPr>
        <w:t xml:space="preserve"> </w:t>
      </w:r>
      <w:r w:rsidR="00F31B6B">
        <w:rPr>
          <w:rFonts w:ascii="Public Sans" w:hAnsi="Public Sans" w:cs="Segoe UI"/>
          <w:b/>
          <w:sz w:val="18"/>
        </w:rPr>
        <w:t>8</w:t>
      </w:r>
      <w:r w:rsidR="009F035E" w:rsidRPr="00F31B6B">
        <w:rPr>
          <w:rFonts w:ascii="Public Sans" w:hAnsi="Public Sans" w:cs="Segoe UI"/>
          <w:b/>
          <w:sz w:val="18"/>
        </w:rPr>
        <w:t xml:space="preserve">: </w:t>
      </w:r>
      <w:r w:rsidR="008E3810" w:rsidRPr="00F31B6B">
        <w:rPr>
          <w:rFonts w:ascii="Public Sans" w:hAnsi="Public Sans" w:cs="Segoe UI"/>
          <w:b/>
          <w:sz w:val="18"/>
        </w:rPr>
        <w:t>Location of person the subject of a r</w:t>
      </w:r>
      <w:r w:rsidR="009F035E" w:rsidRPr="00F31B6B">
        <w:rPr>
          <w:rFonts w:ascii="Public Sans" w:hAnsi="Public Sans" w:cs="Segoe UI"/>
          <w:b/>
          <w:sz w:val="18"/>
        </w:rPr>
        <w:t xml:space="preserve">eport to the ADC by NSW region, </w:t>
      </w:r>
      <w:r w:rsidR="007E4C5E" w:rsidRPr="00F31B6B">
        <w:rPr>
          <w:rFonts w:ascii="Public Sans" w:hAnsi="Public Sans" w:cs="Segoe UI"/>
          <w:b/>
          <w:sz w:val="18"/>
        </w:rPr>
        <w:t>202</w:t>
      </w:r>
      <w:r w:rsidR="00E632C2" w:rsidRPr="00F31B6B">
        <w:rPr>
          <w:rFonts w:ascii="Public Sans" w:hAnsi="Public Sans" w:cs="Segoe UI"/>
          <w:b/>
          <w:sz w:val="18"/>
        </w:rPr>
        <w:t>3</w:t>
      </w:r>
      <w:r w:rsidR="007E4C5E" w:rsidRPr="00F31B6B">
        <w:rPr>
          <w:rFonts w:ascii="Public Sans" w:hAnsi="Public Sans" w:cs="Segoe UI"/>
          <w:b/>
          <w:sz w:val="18"/>
        </w:rPr>
        <w:t>-</w:t>
      </w:r>
      <w:r w:rsidR="00991047" w:rsidRPr="00F31B6B">
        <w:rPr>
          <w:rFonts w:ascii="Public Sans" w:hAnsi="Public Sans" w:cs="Segoe UI"/>
          <w:b/>
          <w:sz w:val="18"/>
        </w:rPr>
        <w:t>2</w:t>
      </w:r>
      <w:r w:rsidR="00E632C2" w:rsidRPr="00F31B6B">
        <w:rPr>
          <w:rFonts w:ascii="Public Sans" w:hAnsi="Public Sans" w:cs="Segoe UI"/>
          <w:b/>
          <w:sz w:val="18"/>
        </w:rPr>
        <w:t>4</w:t>
      </w:r>
    </w:p>
    <w:p w14:paraId="58200E42" w14:textId="46DE0047" w:rsidR="001A5FB2" w:rsidRPr="00F31B6B" w:rsidRDefault="001F18D5" w:rsidP="007A4BC6">
      <w:pPr>
        <w:spacing w:after="0" w:line="240" w:lineRule="auto"/>
        <w:rPr>
          <w:rFonts w:ascii="Public Sans" w:hAnsi="Public Sans" w:cs="Segoe UI"/>
          <w:b/>
          <w:sz w:val="20"/>
        </w:rPr>
      </w:pPr>
      <w:r>
        <w:rPr>
          <w:noProof/>
        </w:rPr>
        <w:lastRenderedPageBreak/>
        <w:drawing>
          <wp:inline distT="0" distB="0" distL="0" distR="0" wp14:anchorId="4DBD9010" wp14:editId="7AA4BD43">
            <wp:extent cx="6181725" cy="2809875"/>
            <wp:effectExtent l="0" t="0" r="9525" b="952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EED5D4CC-18AD-08CE-CC7A-8C5AE7E337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0CFCFC5" w14:textId="77777777" w:rsidR="001A5FB2" w:rsidRPr="00F31B6B" w:rsidRDefault="001A5FB2" w:rsidP="007A4BC6">
      <w:pPr>
        <w:spacing w:after="0" w:line="240" w:lineRule="auto"/>
        <w:rPr>
          <w:rFonts w:ascii="Public Sans" w:hAnsi="Public Sans" w:cs="Segoe UI"/>
          <w:b/>
          <w:sz w:val="20"/>
        </w:rPr>
      </w:pPr>
    </w:p>
    <w:p w14:paraId="1F629195" w14:textId="20D3969D" w:rsidR="006C15AD" w:rsidRPr="00F31B6B" w:rsidRDefault="006135A6" w:rsidP="007A4BC6">
      <w:pPr>
        <w:spacing w:after="0" w:line="240" w:lineRule="auto"/>
        <w:rPr>
          <w:rFonts w:ascii="Public Sans" w:hAnsi="Public Sans"/>
          <w:noProof/>
          <w:lang w:eastAsia="en-AU"/>
        </w:rPr>
      </w:pPr>
      <w:r w:rsidRPr="00F31B6B">
        <w:rPr>
          <w:rFonts w:ascii="Public Sans" w:hAnsi="Public Sans"/>
        </w:rPr>
        <w:t xml:space="preserve">At a Local Government Area (LGA) level, the adults who were the subjects of a report to the ADC in </w:t>
      </w:r>
      <w:r w:rsidR="00E05432" w:rsidRPr="00F31B6B">
        <w:rPr>
          <w:rFonts w:ascii="Public Sans" w:hAnsi="Public Sans"/>
        </w:rPr>
        <w:t>202</w:t>
      </w:r>
      <w:r w:rsidR="00FF1DDD" w:rsidRPr="00F31B6B">
        <w:rPr>
          <w:rFonts w:ascii="Public Sans" w:hAnsi="Public Sans"/>
        </w:rPr>
        <w:t>3</w:t>
      </w:r>
      <w:r w:rsidR="00E05432" w:rsidRPr="00F31B6B">
        <w:rPr>
          <w:rFonts w:ascii="Public Sans" w:hAnsi="Public Sans"/>
        </w:rPr>
        <w:t>-2</w:t>
      </w:r>
      <w:r w:rsidR="00FF1DDD" w:rsidRPr="00F31B6B">
        <w:rPr>
          <w:rFonts w:ascii="Public Sans" w:hAnsi="Public Sans"/>
        </w:rPr>
        <w:t>4</w:t>
      </w:r>
      <w:r w:rsidRPr="00F31B6B">
        <w:rPr>
          <w:rFonts w:ascii="Public Sans" w:hAnsi="Public Sans"/>
        </w:rPr>
        <w:t xml:space="preserve"> </w:t>
      </w:r>
      <w:proofErr w:type="gramStart"/>
      <w:r w:rsidRPr="00F31B6B">
        <w:rPr>
          <w:rFonts w:ascii="Public Sans" w:hAnsi="Public Sans"/>
        </w:rPr>
        <w:t>most commonly lived</w:t>
      </w:r>
      <w:proofErr w:type="gramEnd"/>
      <w:r w:rsidRPr="00F31B6B">
        <w:rPr>
          <w:rFonts w:ascii="Public Sans" w:hAnsi="Public Sans"/>
        </w:rPr>
        <w:t xml:space="preserve"> in the Central Coast, </w:t>
      </w:r>
      <w:r w:rsidR="00D810A4" w:rsidRPr="00F31B6B">
        <w:rPr>
          <w:rFonts w:ascii="Public Sans" w:hAnsi="Public Sans"/>
        </w:rPr>
        <w:t xml:space="preserve">Blacktown and </w:t>
      </w:r>
      <w:r w:rsidR="00FF1DDD" w:rsidRPr="00F31B6B">
        <w:rPr>
          <w:rFonts w:ascii="Public Sans" w:hAnsi="Public Sans"/>
        </w:rPr>
        <w:t>Lake Macquarie</w:t>
      </w:r>
      <w:r w:rsidRPr="00F31B6B">
        <w:rPr>
          <w:rFonts w:ascii="Public Sans" w:hAnsi="Public Sans"/>
        </w:rPr>
        <w:t xml:space="preserve"> LGAs.</w:t>
      </w:r>
      <w:r w:rsidR="00544C35" w:rsidRPr="00F31B6B">
        <w:rPr>
          <w:rFonts w:ascii="Public Sans" w:hAnsi="Public Sans"/>
        </w:rPr>
        <w:t xml:space="preserve"> This is </w:t>
      </w:r>
      <w:r w:rsidR="008B3EA8">
        <w:rPr>
          <w:rFonts w:ascii="Public Sans" w:hAnsi="Public Sans"/>
        </w:rPr>
        <w:t xml:space="preserve">largely </w:t>
      </w:r>
      <w:r w:rsidR="00544C35" w:rsidRPr="00F31B6B">
        <w:rPr>
          <w:rFonts w:ascii="Public Sans" w:hAnsi="Public Sans"/>
        </w:rPr>
        <w:t xml:space="preserve">consistent with </w:t>
      </w:r>
      <w:r w:rsidR="00F00118" w:rsidRPr="00F31B6B">
        <w:rPr>
          <w:rFonts w:ascii="Public Sans" w:hAnsi="Public Sans"/>
        </w:rPr>
        <w:t>previous years</w:t>
      </w:r>
      <w:r w:rsidR="00544C35" w:rsidRPr="00F31B6B">
        <w:rPr>
          <w:rFonts w:ascii="Public Sans" w:hAnsi="Public Sans"/>
        </w:rPr>
        <w:t>.</w:t>
      </w:r>
    </w:p>
    <w:p w14:paraId="2377D2E1" w14:textId="77777777" w:rsidR="001A5FB2" w:rsidRPr="00F31B6B" w:rsidRDefault="001A5FB2" w:rsidP="007A4BC6">
      <w:pPr>
        <w:spacing w:after="0" w:line="240" w:lineRule="auto"/>
        <w:rPr>
          <w:rFonts w:ascii="Public Sans" w:hAnsi="Public Sans"/>
          <w:noProof/>
          <w:lang w:eastAsia="en-AU"/>
        </w:rPr>
      </w:pPr>
    </w:p>
    <w:p w14:paraId="46E1BBBC" w14:textId="57E70189" w:rsidR="001E1198" w:rsidRPr="00F31B6B" w:rsidRDefault="00CF7837" w:rsidP="001E1198">
      <w:pPr>
        <w:spacing w:after="0" w:line="240" w:lineRule="auto"/>
        <w:rPr>
          <w:rFonts w:ascii="Public Sans" w:hAnsi="Public Sans" w:cs="Segoe UI"/>
          <w:b/>
          <w:sz w:val="18"/>
        </w:rPr>
      </w:pPr>
      <w:r w:rsidRPr="00F31B6B">
        <w:rPr>
          <w:rFonts w:ascii="Public Sans" w:hAnsi="Public Sans" w:cs="Segoe UI"/>
          <w:b/>
          <w:sz w:val="18"/>
        </w:rPr>
        <w:t>Table</w:t>
      </w:r>
      <w:r w:rsidR="001E1198" w:rsidRPr="00F31B6B">
        <w:rPr>
          <w:rFonts w:ascii="Public Sans" w:hAnsi="Public Sans" w:cs="Segoe UI"/>
          <w:b/>
          <w:sz w:val="18"/>
        </w:rPr>
        <w:t xml:space="preserve"> </w:t>
      </w:r>
      <w:r w:rsidRPr="00F31B6B">
        <w:rPr>
          <w:rFonts w:ascii="Public Sans" w:hAnsi="Public Sans" w:cs="Segoe UI"/>
          <w:b/>
          <w:sz w:val="18"/>
        </w:rPr>
        <w:t>4</w:t>
      </w:r>
      <w:r w:rsidR="001E1198" w:rsidRPr="00F31B6B">
        <w:rPr>
          <w:rFonts w:ascii="Public Sans" w:hAnsi="Public Sans" w:cs="Segoe UI"/>
          <w:b/>
          <w:sz w:val="18"/>
        </w:rPr>
        <w:t xml:space="preserve">: Main LGAs of </w:t>
      </w:r>
      <w:r w:rsidR="00983BDF" w:rsidRPr="00F31B6B">
        <w:rPr>
          <w:rFonts w:ascii="Public Sans" w:hAnsi="Public Sans" w:cs="Segoe UI"/>
          <w:b/>
          <w:sz w:val="18"/>
        </w:rPr>
        <w:t>people</w:t>
      </w:r>
      <w:r w:rsidR="001E1198" w:rsidRPr="00F31B6B">
        <w:rPr>
          <w:rFonts w:ascii="Public Sans" w:hAnsi="Public Sans" w:cs="Segoe UI"/>
          <w:b/>
          <w:sz w:val="18"/>
        </w:rPr>
        <w:t xml:space="preserve"> who were the subject of a report to the ADC, </w:t>
      </w:r>
      <w:r w:rsidR="00E05432" w:rsidRPr="00F31B6B">
        <w:rPr>
          <w:rFonts w:ascii="Public Sans" w:hAnsi="Public Sans" w:cs="Segoe UI"/>
          <w:b/>
          <w:sz w:val="18"/>
        </w:rPr>
        <w:t>202</w:t>
      </w:r>
      <w:r w:rsidR="005561EC" w:rsidRPr="00F31B6B">
        <w:rPr>
          <w:rFonts w:ascii="Public Sans" w:hAnsi="Public Sans" w:cs="Segoe UI"/>
          <w:b/>
          <w:sz w:val="18"/>
        </w:rPr>
        <w:t>3</w:t>
      </w:r>
      <w:r w:rsidR="00E05432" w:rsidRPr="00F31B6B">
        <w:rPr>
          <w:rFonts w:ascii="Public Sans" w:hAnsi="Public Sans" w:cs="Segoe UI"/>
          <w:b/>
          <w:sz w:val="18"/>
        </w:rPr>
        <w:t>-</w:t>
      </w:r>
      <w:r w:rsidR="001E1198" w:rsidRPr="00F31B6B">
        <w:rPr>
          <w:rFonts w:ascii="Public Sans" w:hAnsi="Public Sans" w:cs="Segoe UI"/>
          <w:b/>
          <w:sz w:val="18"/>
        </w:rPr>
        <w:t>2</w:t>
      </w:r>
      <w:r w:rsidR="005561EC" w:rsidRPr="00F31B6B">
        <w:rPr>
          <w:rFonts w:ascii="Public Sans" w:hAnsi="Public Sans" w:cs="Segoe UI"/>
          <w:b/>
          <w:sz w:val="18"/>
        </w:rPr>
        <w:t>4</w:t>
      </w:r>
    </w:p>
    <w:tbl>
      <w:tblPr>
        <w:tblW w:w="9975" w:type="dxa"/>
        <w:tblLook w:val="04A0" w:firstRow="1" w:lastRow="0" w:firstColumn="1" w:lastColumn="0" w:noHBand="0" w:noVBand="1"/>
      </w:tblPr>
      <w:tblGrid>
        <w:gridCol w:w="431"/>
        <w:gridCol w:w="2532"/>
        <w:gridCol w:w="1852"/>
        <w:gridCol w:w="437"/>
        <w:gridCol w:w="2835"/>
        <w:gridCol w:w="1900"/>
      </w:tblGrid>
      <w:tr w:rsidR="005561EC" w:rsidRPr="00452CBC" w14:paraId="1B634028" w14:textId="77777777" w:rsidTr="0051643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CA7CC"/>
            <w:vAlign w:val="center"/>
            <w:hideMark/>
          </w:tcPr>
          <w:p w14:paraId="3FADA683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CA7CC"/>
            <w:vAlign w:val="center"/>
            <w:hideMark/>
          </w:tcPr>
          <w:p w14:paraId="03D9D532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sz w:val="20"/>
                <w:szCs w:val="20"/>
                <w:lang w:eastAsia="en-AU"/>
              </w:rPr>
              <w:t>Local Government Area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CA7CC"/>
            <w:vAlign w:val="center"/>
            <w:hideMark/>
          </w:tcPr>
          <w:p w14:paraId="56D49E54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sz w:val="20"/>
                <w:szCs w:val="20"/>
                <w:lang w:eastAsia="en-AU"/>
              </w:rPr>
              <w:t>Number of cases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CA7CC"/>
            <w:vAlign w:val="center"/>
            <w:hideMark/>
          </w:tcPr>
          <w:p w14:paraId="35CADB13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CA7CC"/>
            <w:vAlign w:val="center"/>
            <w:hideMark/>
          </w:tcPr>
          <w:p w14:paraId="42434A95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sz w:val="20"/>
                <w:szCs w:val="20"/>
                <w:lang w:eastAsia="en-AU"/>
              </w:rPr>
              <w:t>Local Government Area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CA7CC"/>
            <w:vAlign w:val="center"/>
            <w:hideMark/>
          </w:tcPr>
          <w:p w14:paraId="2A911870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sz w:val="20"/>
                <w:szCs w:val="20"/>
                <w:lang w:eastAsia="en-AU"/>
              </w:rPr>
              <w:t>Number of cases</w:t>
            </w:r>
          </w:p>
        </w:tc>
      </w:tr>
      <w:tr w:rsidR="005561EC" w:rsidRPr="00452CBC" w14:paraId="6EF87E9F" w14:textId="77777777" w:rsidTr="00516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0EC3D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3B25B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Central Coast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30DC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264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56607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7E8EA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Fairfield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F590F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89</w:t>
            </w:r>
          </w:p>
        </w:tc>
      </w:tr>
      <w:tr w:rsidR="005561EC" w:rsidRPr="00452CBC" w14:paraId="4C2E53D9" w14:textId="77777777" w:rsidTr="00516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E8270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ED317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Blacktown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4C903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186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03FA6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688AF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Bayside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6A96B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88</w:t>
            </w:r>
          </w:p>
        </w:tc>
      </w:tr>
      <w:tr w:rsidR="005561EC" w:rsidRPr="00452CBC" w14:paraId="62C8A6E0" w14:textId="77777777" w:rsidTr="00516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8DD7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53B10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Lake Macquarie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79301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F5E11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85758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Mid-Coast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B820A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</w:tr>
      <w:tr w:rsidR="005561EC" w:rsidRPr="00452CBC" w14:paraId="6B8EE09E" w14:textId="77777777" w:rsidTr="00516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D922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4CD8F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Wollongong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EC97C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164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44821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FE8AA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Sutherland 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D90F5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85</w:t>
            </w:r>
          </w:p>
        </w:tc>
      </w:tr>
      <w:tr w:rsidR="005561EC" w:rsidRPr="00452CBC" w14:paraId="24218D8F" w14:textId="77777777" w:rsidTr="00516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BF087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750DE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Canterbury-Bankstown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64F14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159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4AAFA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00446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Shoalhaven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0C7E6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</w:tr>
      <w:tr w:rsidR="005561EC" w:rsidRPr="00452CBC" w14:paraId="01556DFF" w14:textId="77777777" w:rsidTr="00516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079F8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402D2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Cumberland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D296C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B0D18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22B08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Parramatta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BF88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79</w:t>
            </w:r>
          </w:p>
        </w:tc>
      </w:tr>
      <w:tr w:rsidR="005561EC" w:rsidRPr="00452CBC" w14:paraId="3E499EC1" w14:textId="77777777" w:rsidTr="00516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97BD8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0EDC0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Northern Beaches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DD3B6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FDBC9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F92B9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Penrith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CA1D8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67</w:t>
            </w:r>
          </w:p>
        </w:tc>
      </w:tr>
      <w:tr w:rsidR="005561EC" w:rsidRPr="00452CBC" w14:paraId="42011C08" w14:textId="77777777" w:rsidTr="00516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C304D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5B9D0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Campbelltown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6311C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6E321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4284D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Port Macquarie-Hastings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AFE79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66</w:t>
            </w:r>
          </w:p>
        </w:tc>
      </w:tr>
      <w:tr w:rsidR="005561EC" w:rsidRPr="00452CBC" w14:paraId="727C15E5" w14:textId="77777777" w:rsidTr="00516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D41F6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85928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Cessnock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0FE63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C1846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BF604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Inner West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9E753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</w:tr>
      <w:tr w:rsidR="005561EC" w:rsidRPr="00452CBC" w14:paraId="5977D80F" w14:textId="77777777" w:rsidTr="0051643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0DB9E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605C1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Newcastle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79048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70BD3" w14:textId="77777777" w:rsidR="005561EC" w:rsidRPr="00452CBC" w:rsidRDefault="005561EC" w:rsidP="005561EC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662F" w14:textId="77777777" w:rsidR="005561EC" w:rsidRPr="00452CBC" w:rsidRDefault="005561EC" w:rsidP="005561EC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Tweed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5EC52" w14:textId="77777777" w:rsidR="005561EC" w:rsidRPr="00452CBC" w:rsidRDefault="005561EC" w:rsidP="005561EC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452CBC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</w:tr>
    </w:tbl>
    <w:p w14:paraId="75832BF1" w14:textId="77777777" w:rsidR="00BC47A9" w:rsidRPr="00F31B6B" w:rsidRDefault="00BC47A9" w:rsidP="00FA1892">
      <w:pPr>
        <w:rPr>
          <w:rFonts w:ascii="Public Sans" w:hAnsi="Public Sans"/>
        </w:rPr>
      </w:pPr>
    </w:p>
    <w:p w14:paraId="62AEB15B" w14:textId="77777777" w:rsidR="0066419B" w:rsidRPr="00F31B6B" w:rsidRDefault="00E403D8" w:rsidP="007A4BC6">
      <w:pPr>
        <w:pStyle w:val="Heading1"/>
        <w:keepNext w:val="0"/>
        <w:keepLines w:val="0"/>
        <w:widowControl w:val="0"/>
        <w:numPr>
          <w:ilvl w:val="0"/>
          <w:numId w:val="10"/>
        </w:numPr>
        <w:spacing w:before="0" w:after="0"/>
        <w:ind w:left="426" w:hanging="426"/>
        <w:rPr>
          <w:rFonts w:ascii="Public Sans" w:hAnsi="Public Sans" w:cs="Segoe UI"/>
          <w:b/>
        </w:rPr>
      </w:pPr>
      <w:r w:rsidRPr="00F31B6B">
        <w:rPr>
          <w:rFonts w:ascii="Public Sans" w:hAnsi="Public Sans" w:cs="Segoe UI"/>
          <w:b/>
        </w:rPr>
        <w:t>Reporters</w:t>
      </w:r>
    </w:p>
    <w:p w14:paraId="62D6EAB7" w14:textId="77777777" w:rsidR="00070B5C" w:rsidRPr="00F31B6B" w:rsidRDefault="00070B5C" w:rsidP="00EB5FA7">
      <w:pPr>
        <w:pStyle w:val="Heading2"/>
        <w:spacing w:before="0"/>
        <w:rPr>
          <w:rFonts w:ascii="Public Sans" w:hAnsi="Public Sans"/>
          <w:b/>
          <w:sz w:val="18"/>
        </w:rPr>
      </w:pPr>
    </w:p>
    <w:p w14:paraId="69F75594" w14:textId="77777777" w:rsidR="00E134D4" w:rsidRPr="00F31B6B" w:rsidRDefault="00E134D4" w:rsidP="00EB5FA7">
      <w:pPr>
        <w:pStyle w:val="Heading2"/>
        <w:spacing w:before="0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>3.1 Relationship of reporter to the adult</w:t>
      </w:r>
    </w:p>
    <w:p w14:paraId="509B0C92" w14:textId="77777777" w:rsidR="003F6016" w:rsidRPr="00F31B6B" w:rsidRDefault="003F6016" w:rsidP="007A4BC6">
      <w:pPr>
        <w:pStyle w:val="Heading3"/>
        <w:spacing w:before="0"/>
        <w:rPr>
          <w:rFonts w:ascii="Public Sans" w:hAnsi="Public Sans"/>
          <w:b/>
          <w:sz w:val="18"/>
        </w:rPr>
      </w:pPr>
    </w:p>
    <w:p w14:paraId="673E15E7" w14:textId="77777777" w:rsidR="00EE0608" w:rsidRPr="00F31B6B" w:rsidRDefault="00EE0608" w:rsidP="007A4BC6">
      <w:pPr>
        <w:pStyle w:val="Heading3"/>
        <w:spacing w:before="0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>Older people</w:t>
      </w:r>
    </w:p>
    <w:p w14:paraId="53DB2917" w14:textId="06D06EF1" w:rsidR="003A3933" w:rsidRPr="00F31B6B" w:rsidRDefault="00544C35" w:rsidP="0096363F">
      <w:pPr>
        <w:pStyle w:val="Body"/>
        <w:widowControl w:val="0"/>
        <w:spacing w:before="60"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>Paid workers</w:t>
      </w:r>
      <w:r w:rsidR="00EB5FA7" w:rsidRPr="00F31B6B">
        <w:rPr>
          <w:rFonts w:ascii="Public Sans" w:eastAsia="Helvetica" w:hAnsi="Public Sans" w:cs="Segoe UI"/>
        </w:rPr>
        <w:t xml:space="preserve"> were the main source of </w:t>
      </w:r>
      <w:r w:rsidR="004F7953" w:rsidRPr="00F31B6B">
        <w:rPr>
          <w:rFonts w:ascii="Public Sans" w:eastAsia="Helvetica" w:hAnsi="Public Sans" w:cs="Segoe UI"/>
        </w:rPr>
        <w:t>reports to the ADC about older people in 202</w:t>
      </w:r>
      <w:r w:rsidR="00FB079F" w:rsidRPr="00F31B6B">
        <w:rPr>
          <w:rFonts w:ascii="Public Sans" w:eastAsia="Helvetica" w:hAnsi="Public Sans" w:cs="Segoe UI"/>
        </w:rPr>
        <w:t>3</w:t>
      </w:r>
      <w:r w:rsidR="004F7953" w:rsidRPr="00F31B6B">
        <w:rPr>
          <w:rFonts w:ascii="Public Sans" w:eastAsia="Helvetica" w:hAnsi="Public Sans" w:cs="Segoe UI"/>
        </w:rPr>
        <w:t>-2</w:t>
      </w:r>
      <w:r w:rsidR="00FB079F" w:rsidRPr="00F31B6B">
        <w:rPr>
          <w:rFonts w:ascii="Public Sans" w:eastAsia="Helvetica" w:hAnsi="Public Sans" w:cs="Segoe UI"/>
        </w:rPr>
        <w:t>4</w:t>
      </w:r>
      <w:r w:rsidR="004F7953" w:rsidRPr="00F31B6B">
        <w:rPr>
          <w:rFonts w:ascii="Public Sans" w:eastAsia="Helvetica" w:hAnsi="Public Sans" w:cs="Segoe UI"/>
        </w:rPr>
        <w:t xml:space="preserve">, </w:t>
      </w:r>
      <w:r w:rsidR="003A3933" w:rsidRPr="00F31B6B">
        <w:rPr>
          <w:rFonts w:ascii="Public Sans" w:eastAsia="Helvetica" w:hAnsi="Public Sans" w:cs="Segoe UI"/>
        </w:rPr>
        <w:t xml:space="preserve">accounting for </w:t>
      </w:r>
      <w:r w:rsidR="0071469D" w:rsidRPr="00F31B6B">
        <w:rPr>
          <w:rFonts w:ascii="Public Sans" w:eastAsia="Helvetica" w:hAnsi="Public Sans" w:cs="Segoe UI"/>
        </w:rPr>
        <w:t>31</w:t>
      </w:r>
      <w:r w:rsidR="003C5650" w:rsidRPr="00F31B6B">
        <w:rPr>
          <w:rFonts w:ascii="Public Sans" w:eastAsia="Helvetica" w:hAnsi="Public Sans" w:cs="Segoe UI"/>
        </w:rPr>
        <w:t>.</w:t>
      </w:r>
      <w:r w:rsidR="008762AC" w:rsidRPr="00F31B6B">
        <w:rPr>
          <w:rFonts w:ascii="Public Sans" w:eastAsia="Helvetica" w:hAnsi="Public Sans" w:cs="Segoe UI"/>
        </w:rPr>
        <w:t>0</w:t>
      </w:r>
      <w:r w:rsidR="003A3933" w:rsidRPr="00F31B6B">
        <w:rPr>
          <w:rFonts w:ascii="Public Sans" w:eastAsia="Helvetica" w:hAnsi="Public Sans" w:cs="Segoe UI"/>
        </w:rPr>
        <w:t xml:space="preserve">% of </w:t>
      </w:r>
      <w:r w:rsidR="00DD299A" w:rsidRPr="00F31B6B">
        <w:rPr>
          <w:rFonts w:ascii="Public Sans" w:eastAsia="Helvetica" w:hAnsi="Public Sans" w:cs="Segoe UI"/>
        </w:rPr>
        <w:t xml:space="preserve">the </w:t>
      </w:r>
      <w:r w:rsidRPr="00F31B6B">
        <w:rPr>
          <w:rFonts w:ascii="Public Sans" w:eastAsia="Helvetica" w:hAnsi="Public Sans" w:cs="Segoe UI"/>
        </w:rPr>
        <w:t>3,</w:t>
      </w:r>
      <w:r w:rsidR="008762AC" w:rsidRPr="00F31B6B">
        <w:rPr>
          <w:rFonts w:ascii="Public Sans" w:eastAsia="Helvetica" w:hAnsi="Public Sans" w:cs="Segoe UI"/>
        </w:rPr>
        <w:t>704</w:t>
      </w:r>
      <w:r w:rsidR="00DD299A" w:rsidRPr="00F31B6B">
        <w:rPr>
          <w:rFonts w:ascii="Public Sans" w:eastAsia="Helvetica" w:hAnsi="Public Sans" w:cs="Segoe UI"/>
        </w:rPr>
        <w:t xml:space="preserve"> </w:t>
      </w:r>
      <w:r w:rsidR="003A3933" w:rsidRPr="00F31B6B">
        <w:rPr>
          <w:rFonts w:ascii="Public Sans" w:eastAsia="Helvetica" w:hAnsi="Public Sans" w:cs="Segoe UI"/>
        </w:rPr>
        <w:t>reports</w:t>
      </w:r>
      <w:r w:rsidR="00CC5297" w:rsidRPr="00F31B6B">
        <w:rPr>
          <w:rFonts w:ascii="Public Sans" w:eastAsia="Helvetica" w:hAnsi="Public Sans" w:cs="Segoe UI"/>
        </w:rPr>
        <w:t>, just ahead of reports by a</w:t>
      </w:r>
      <w:r w:rsidRPr="00F31B6B">
        <w:rPr>
          <w:rFonts w:ascii="Public Sans" w:eastAsia="Helvetica" w:hAnsi="Public Sans" w:cs="Segoe UI"/>
        </w:rPr>
        <w:t xml:space="preserve">dult children </w:t>
      </w:r>
      <w:r w:rsidR="00CC5297" w:rsidRPr="00F31B6B">
        <w:rPr>
          <w:rFonts w:ascii="Public Sans" w:eastAsia="Helvetica" w:hAnsi="Public Sans" w:cs="Segoe UI"/>
        </w:rPr>
        <w:t>(</w:t>
      </w:r>
      <w:r w:rsidRPr="00F31B6B">
        <w:rPr>
          <w:rFonts w:ascii="Public Sans" w:eastAsia="Helvetica" w:hAnsi="Public Sans" w:cs="Segoe UI"/>
        </w:rPr>
        <w:t>2</w:t>
      </w:r>
      <w:r w:rsidR="008762AC" w:rsidRPr="00F31B6B">
        <w:rPr>
          <w:rFonts w:ascii="Public Sans" w:eastAsia="Helvetica" w:hAnsi="Public Sans" w:cs="Segoe UI"/>
        </w:rPr>
        <w:t>4</w:t>
      </w:r>
      <w:r w:rsidRPr="00F31B6B">
        <w:rPr>
          <w:rFonts w:ascii="Public Sans" w:eastAsia="Helvetica" w:hAnsi="Public Sans" w:cs="Segoe UI"/>
        </w:rPr>
        <w:t>.</w:t>
      </w:r>
      <w:r w:rsidR="008762AC" w:rsidRPr="00F31B6B">
        <w:rPr>
          <w:rFonts w:ascii="Public Sans" w:eastAsia="Helvetica" w:hAnsi="Public Sans" w:cs="Segoe UI"/>
        </w:rPr>
        <w:t>2</w:t>
      </w:r>
      <w:r w:rsidRPr="00F31B6B">
        <w:rPr>
          <w:rFonts w:ascii="Public Sans" w:eastAsia="Helvetica" w:hAnsi="Public Sans" w:cs="Segoe UI"/>
        </w:rPr>
        <w:t>%</w:t>
      </w:r>
      <w:r w:rsidR="00CC5297" w:rsidRPr="00F31B6B">
        <w:rPr>
          <w:rFonts w:ascii="Public Sans" w:eastAsia="Helvetica" w:hAnsi="Public Sans" w:cs="Segoe UI"/>
        </w:rPr>
        <w:t>)</w:t>
      </w:r>
      <w:r w:rsidRPr="00F31B6B">
        <w:rPr>
          <w:rFonts w:ascii="Public Sans" w:eastAsia="Helvetica" w:hAnsi="Public Sans" w:cs="Segoe UI"/>
        </w:rPr>
        <w:t xml:space="preserve">. </w:t>
      </w:r>
      <w:r w:rsidR="003C5650" w:rsidRPr="00F31B6B">
        <w:rPr>
          <w:rFonts w:ascii="Public Sans" w:eastAsia="Helvetica" w:hAnsi="Public Sans" w:cs="Segoe UI"/>
        </w:rPr>
        <w:t xml:space="preserve">All up, family members were the reporters in </w:t>
      </w:r>
      <w:r w:rsidR="0071469D" w:rsidRPr="00F31B6B">
        <w:rPr>
          <w:rFonts w:ascii="Public Sans" w:eastAsia="Helvetica" w:hAnsi="Public Sans" w:cs="Segoe UI"/>
        </w:rPr>
        <w:t>38.</w:t>
      </w:r>
      <w:r w:rsidR="00D87426" w:rsidRPr="00F31B6B">
        <w:rPr>
          <w:rFonts w:ascii="Public Sans" w:eastAsia="Helvetica" w:hAnsi="Public Sans" w:cs="Segoe UI"/>
        </w:rPr>
        <w:t>0</w:t>
      </w:r>
      <w:r w:rsidR="003C5650" w:rsidRPr="00F31B6B">
        <w:rPr>
          <w:rFonts w:ascii="Public Sans" w:eastAsia="Helvetica" w:hAnsi="Public Sans" w:cs="Segoe UI"/>
        </w:rPr>
        <w:t xml:space="preserve">% of reports about older people. </w:t>
      </w:r>
      <w:r w:rsidRPr="00F31B6B">
        <w:rPr>
          <w:rFonts w:ascii="Public Sans" w:eastAsia="Helvetica" w:hAnsi="Public Sans" w:cs="Segoe UI"/>
        </w:rPr>
        <w:t>T</w:t>
      </w:r>
      <w:r w:rsidR="004F7953" w:rsidRPr="00F31B6B">
        <w:rPr>
          <w:rFonts w:ascii="Public Sans" w:eastAsia="Helvetica" w:hAnsi="Public Sans" w:cs="Segoe UI"/>
        </w:rPr>
        <w:t xml:space="preserve">he older person </w:t>
      </w:r>
      <w:r w:rsidR="00EB5FA7" w:rsidRPr="00F31B6B">
        <w:rPr>
          <w:rFonts w:ascii="Public Sans" w:eastAsia="Helvetica" w:hAnsi="Public Sans" w:cs="Segoe UI"/>
        </w:rPr>
        <w:t>(‘</w:t>
      </w:r>
      <w:r w:rsidR="000A0CFB" w:rsidRPr="00F31B6B">
        <w:rPr>
          <w:rFonts w:ascii="Public Sans" w:eastAsia="Helvetica" w:hAnsi="Public Sans" w:cs="Segoe UI"/>
        </w:rPr>
        <w:t>P</w:t>
      </w:r>
      <w:r w:rsidR="00EB5FA7" w:rsidRPr="00F31B6B">
        <w:rPr>
          <w:rFonts w:ascii="Public Sans" w:eastAsia="Helvetica" w:hAnsi="Public Sans" w:cs="Segoe UI"/>
        </w:rPr>
        <w:t xml:space="preserve">erson </w:t>
      </w:r>
      <w:r w:rsidR="000A0CFB" w:rsidRPr="00F31B6B">
        <w:rPr>
          <w:rFonts w:ascii="Public Sans" w:eastAsia="Helvetica" w:hAnsi="Public Sans" w:cs="Segoe UI"/>
        </w:rPr>
        <w:t>E</w:t>
      </w:r>
      <w:r w:rsidR="00EB5FA7" w:rsidRPr="00F31B6B">
        <w:rPr>
          <w:rFonts w:ascii="Public Sans" w:eastAsia="Helvetica" w:hAnsi="Public Sans" w:cs="Segoe UI"/>
        </w:rPr>
        <w:t xml:space="preserve">xperiencing </w:t>
      </w:r>
      <w:r w:rsidR="000A0CFB" w:rsidRPr="00F31B6B">
        <w:rPr>
          <w:rFonts w:ascii="Public Sans" w:eastAsia="Helvetica" w:hAnsi="Public Sans" w:cs="Segoe UI"/>
        </w:rPr>
        <w:t>A</w:t>
      </w:r>
      <w:r w:rsidR="00EB5FA7" w:rsidRPr="00F31B6B">
        <w:rPr>
          <w:rFonts w:ascii="Public Sans" w:eastAsia="Helvetica" w:hAnsi="Public Sans" w:cs="Segoe UI"/>
        </w:rPr>
        <w:t xml:space="preserve">buse’) </w:t>
      </w:r>
      <w:r w:rsidR="004F7953" w:rsidRPr="00F31B6B">
        <w:rPr>
          <w:rFonts w:ascii="Public Sans" w:eastAsia="Helvetica" w:hAnsi="Public Sans" w:cs="Segoe UI"/>
        </w:rPr>
        <w:t>was the reporter to the ADC in 1</w:t>
      </w:r>
      <w:r w:rsidR="000A0CFB" w:rsidRPr="00F31B6B">
        <w:rPr>
          <w:rFonts w:ascii="Public Sans" w:eastAsia="Helvetica" w:hAnsi="Public Sans" w:cs="Segoe UI"/>
        </w:rPr>
        <w:t>2</w:t>
      </w:r>
      <w:r w:rsidR="0071469D" w:rsidRPr="00F31B6B">
        <w:rPr>
          <w:rFonts w:ascii="Public Sans" w:eastAsia="Helvetica" w:hAnsi="Public Sans" w:cs="Segoe UI"/>
        </w:rPr>
        <w:t>.</w:t>
      </w:r>
      <w:r w:rsidR="000A0CFB" w:rsidRPr="00F31B6B">
        <w:rPr>
          <w:rFonts w:ascii="Public Sans" w:eastAsia="Helvetica" w:hAnsi="Public Sans" w:cs="Segoe UI"/>
        </w:rPr>
        <w:t>2</w:t>
      </w:r>
      <w:r w:rsidR="004F7953" w:rsidRPr="00F31B6B">
        <w:rPr>
          <w:rFonts w:ascii="Public Sans" w:eastAsia="Helvetica" w:hAnsi="Public Sans" w:cs="Segoe UI"/>
        </w:rPr>
        <w:t xml:space="preserve">% of cases. </w:t>
      </w:r>
    </w:p>
    <w:p w14:paraId="50641332" w14:textId="77777777" w:rsidR="000F3A12" w:rsidRPr="00F31B6B" w:rsidRDefault="000F3A12" w:rsidP="007A4BC6">
      <w:pPr>
        <w:spacing w:after="0" w:line="240" w:lineRule="auto"/>
        <w:rPr>
          <w:rFonts w:ascii="Public Sans" w:hAnsi="Public Sans"/>
          <w:sz w:val="20"/>
        </w:rPr>
      </w:pPr>
    </w:p>
    <w:p w14:paraId="261A8404" w14:textId="77777777" w:rsidR="000F3A12" w:rsidRPr="00F31B6B" w:rsidRDefault="000F3A12" w:rsidP="007A4BC6">
      <w:pPr>
        <w:spacing w:after="0" w:line="240" w:lineRule="auto"/>
        <w:rPr>
          <w:rFonts w:ascii="Public Sans" w:hAnsi="Public Sans"/>
          <w:sz w:val="20"/>
        </w:rPr>
      </w:pPr>
    </w:p>
    <w:p w14:paraId="0B60F986" w14:textId="59A2C858" w:rsidR="00DE054D" w:rsidRPr="00F31B6B" w:rsidRDefault="00766409" w:rsidP="007A4BC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31B6B">
        <w:rPr>
          <w:rFonts w:ascii="Public Sans" w:eastAsia="Helvetica" w:hAnsi="Public Sans" w:cs="Segoe UI"/>
          <w:b/>
          <w:sz w:val="18"/>
        </w:rPr>
        <w:t xml:space="preserve">Figure </w:t>
      </w:r>
      <w:r w:rsidR="00912720">
        <w:rPr>
          <w:rFonts w:ascii="Public Sans" w:eastAsia="Helvetica" w:hAnsi="Public Sans" w:cs="Segoe UI"/>
          <w:b/>
          <w:sz w:val="18"/>
        </w:rPr>
        <w:t>9</w:t>
      </w:r>
      <w:r w:rsidR="00A45529" w:rsidRPr="00F31B6B">
        <w:rPr>
          <w:rFonts w:ascii="Public Sans" w:eastAsia="Helvetica" w:hAnsi="Public Sans" w:cs="Segoe UI"/>
          <w:b/>
          <w:sz w:val="18"/>
        </w:rPr>
        <w:t xml:space="preserve">: Relationship of reporter to the older person in reports to the ADC, </w:t>
      </w:r>
      <w:r w:rsidR="00881EC6" w:rsidRPr="00F31B6B">
        <w:rPr>
          <w:rFonts w:ascii="Public Sans" w:eastAsia="Helvetica" w:hAnsi="Public Sans" w:cs="Segoe UI"/>
          <w:b/>
          <w:sz w:val="18"/>
        </w:rPr>
        <w:t>202</w:t>
      </w:r>
      <w:r w:rsidR="00AB53FF" w:rsidRPr="00F31B6B">
        <w:rPr>
          <w:rFonts w:ascii="Public Sans" w:eastAsia="Helvetica" w:hAnsi="Public Sans" w:cs="Segoe UI"/>
          <w:b/>
          <w:sz w:val="18"/>
        </w:rPr>
        <w:t>3</w:t>
      </w:r>
      <w:r w:rsidR="00881EC6" w:rsidRPr="00F31B6B">
        <w:rPr>
          <w:rFonts w:ascii="Public Sans" w:eastAsia="Helvetica" w:hAnsi="Public Sans" w:cs="Segoe UI"/>
          <w:b/>
          <w:sz w:val="18"/>
        </w:rPr>
        <w:t>-</w:t>
      </w:r>
      <w:r w:rsidR="00D366C5" w:rsidRPr="00F31B6B">
        <w:rPr>
          <w:rFonts w:ascii="Public Sans" w:eastAsia="Helvetica" w:hAnsi="Public Sans" w:cs="Segoe UI"/>
          <w:b/>
          <w:sz w:val="18"/>
        </w:rPr>
        <w:t>2</w:t>
      </w:r>
      <w:r w:rsidR="00AB53FF" w:rsidRPr="00F31B6B">
        <w:rPr>
          <w:rFonts w:ascii="Public Sans" w:eastAsia="Helvetica" w:hAnsi="Public Sans" w:cs="Segoe UI"/>
          <w:b/>
          <w:sz w:val="18"/>
        </w:rPr>
        <w:t>4</w:t>
      </w:r>
    </w:p>
    <w:p w14:paraId="2251524A" w14:textId="2CA72FED" w:rsidR="006816DF" w:rsidRPr="00F31B6B" w:rsidRDefault="000F3A12" w:rsidP="00F6632E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20"/>
        </w:rPr>
      </w:pPr>
      <w:r w:rsidRPr="00F31B6B">
        <w:rPr>
          <w:noProof/>
        </w:rPr>
        <w:lastRenderedPageBreak/>
        <w:drawing>
          <wp:inline distT="0" distB="0" distL="0" distR="0" wp14:anchorId="24E6603B" wp14:editId="59035CBB">
            <wp:extent cx="6119495" cy="2924175"/>
            <wp:effectExtent l="0" t="0" r="14605" b="9525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D02F8BA" w14:textId="77777777" w:rsidR="00BC47A9" w:rsidRPr="00BC47A9" w:rsidRDefault="00BC47A9" w:rsidP="00BC47A9">
      <w:pPr>
        <w:spacing w:after="0" w:line="240" w:lineRule="auto"/>
        <w:rPr>
          <w:rFonts w:ascii="Public Sans" w:hAnsi="Public Sans"/>
        </w:rPr>
      </w:pPr>
    </w:p>
    <w:p w14:paraId="242CBE73" w14:textId="77777777" w:rsidR="00936332" w:rsidRPr="00F31B6B" w:rsidRDefault="00936332" w:rsidP="00936332">
      <w:pPr>
        <w:pStyle w:val="Heading3"/>
        <w:spacing w:before="0"/>
        <w:rPr>
          <w:rFonts w:ascii="Public Sans" w:eastAsia="Helvetica" w:hAnsi="Public Sans"/>
          <w:b/>
        </w:rPr>
      </w:pPr>
      <w:r w:rsidRPr="00F31B6B">
        <w:rPr>
          <w:rFonts w:ascii="Public Sans" w:eastAsia="Helvetica" w:hAnsi="Public Sans"/>
          <w:b/>
        </w:rPr>
        <w:t>Adults with disability</w:t>
      </w:r>
    </w:p>
    <w:p w14:paraId="6393068F" w14:textId="7B486CA4" w:rsidR="002B7411" w:rsidRPr="00F31B6B" w:rsidRDefault="002B7411" w:rsidP="0096363F">
      <w:pPr>
        <w:spacing w:before="60" w:after="0" w:line="240" w:lineRule="auto"/>
        <w:rPr>
          <w:rFonts w:ascii="Public Sans" w:hAnsi="Public Sans"/>
        </w:rPr>
      </w:pPr>
      <w:r w:rsidRPr="00F31B6B">
        <w:rPr>
          <w:rFonts w:ascii="Public Sans" w:hAnsi="Public Sans"/>
        </w:rPr>
        <w:t xml:space="preserve">Paid workers were the main source of reports to the ADC about adults with disability in </w:t>
      </w:r>
      <w:r w:rsidR="00505489" w:rsidRPr="00F31B6B">
        <w:rPr>
          <w:rFonts w:ascii="Public Sans" w:hAnsi="Public Sans"/>
        </w:rPr>
        <w:t>202</w:t>
      </w:r>
      <w:r w:rsidR="009E21D3" w:rsidRPr="00F31B6B">
        <w:rPr>
          <w:rFonts w:ascii="Public Sans" w:hAnsi="Public Sans"/>
        </w:rPr>
        <w:t>3</w:t>
      </w:r>
      <w:r w:rsidR="00505489" w:rsidRPr="00F31B6B">
        <w:rPr>
          <w:rFonts w:ascii="Public Sans" w:hAnsi="Public Sans"/>
        </w:rPr>
        <w:t>-2</w:t>
      </w:r>
      <w:r w:rsidR="009E21D3" w:rsidRPr="00F31B6B">
        <w:rPr>
          <w:rFonts w:ascii="Public Sans" w:hAnsi="Public Sans"/>
        </w:rPr>
        <w:t>4</w:t>
      </w:r>
      <w:r w:rsidR="00505489" w:rsidRPr="00F31B6B">
        <w:rPr>
          <w:rFonts w:ascii="Public Sans" w:hAnsi="Public Sans"/>
        </w:rPr>
        <w:t xml:space="preserve">, accounting for </w:t>
      </w:r>
      <w:r w:rsidR="009F6EAE" w:rsidRPr="00F31B6B">
        <w:rPr>
          <w:rFonts w:ascii="Public Sans" w:hAnsi="Public Sans"/>
        </w:rPr>
        <w:t>over half</w:t>
      </w:r>
      <w:r w:rsidRPr="00F31B6B">
        <w:rPr>
          <w:rFonts w:ascii="Public Sans" w:hAnsi="Public Sans"/>
        </w:rPr>
        <w:t xml:space="preserve"> (</w:t>
      </w:r>
      <w:r w:rsidR="009F6EAE" w:rsidRPr="00F31B6B">
        <w:rPr>
          <w:rFonts w:ascii="Public Sans" w:hAnsi="Public Sans"/>
        </w:rPr>
        <w:t>59.</w:t>
      </w:r>
      <w:r w:rsidR="00F91279" w:rsidRPr="00F31B6B">
        <w:rPr>
          <w:rFonts w:ascii="Public Sans" w:hAnsi="Public Sans"/>
        </w:rPr>
        <w:t>8</w:t>
      </w:r>
      <w:r w:rsidRPr="00F31B6B">
        <w:rPr>
          <w:rFonts w:ascii="Public Sans" w:hAnsi="Public Sans"/>
        </w:rPr>
        <w:t xml:space="preserve">%) of </w:t>
      </w:r>
      <w:r w:rsidR="003236E3" w:rsidRPr="00F31B6B">
        <w:rPr>
          <w:rFonts w:ascii="Public Sans" w:hAnsi="Public Sans"/>
        </w:rPr>
        <w:t xml:space="preserve">the </w:t>
      </w:r>
      <w:r w:rsidR="009F6EAE" w:rsidRPr="00F31B6B">
        <w:rPr>
          <w:rFonts w:ascii="Public Sans" w:hAnsi="Public Sans"/>
        </w:rPr>
        <w:t>1,</w:t>
      </w:r>
      <w:r w:rsidR="00F91279" w:rsidRPr="00F31B6B">
        <w:rPr>
          <w:rFonts w:ascii="Public Sans" w:hAnsi="Public Sans"/>
        </w:rPr>
        <w:t>102</w:t>
      </w:r>
      <w:r w:rsidR="003D6A19" w:rsidRPr="00F31B6B">
        <w:rPr>
          <w:rFonts w:ascii="Public Sans" w:hAnsi="Public Sans"/>
        </w:rPr>
        <w:t xml:space="preserve"> </w:t>
      </w:r>
      <w:r w:rsidRPr="00F31B6B">
        <w:rPr>
          <w:rFonts w:ascii="Public Sans" w:hAnsi="Public Sans"/>
        </w:rPr>
        <w:t xml:space="preserve">reports about adults with disability. </w:t>
      </w:r>
      <w:r w:rsidR="003236E3" w:rsidRPr="00F31B6B">
        <w:rPr>
          <w:rFonts w:ascii="Public Sans" w:hAnsi="Public Sans"/>
        </w:rPr>
        <w:t xml:space="preserve">Family members were the reporters in </w:t>
      </w:r>
      <w:r w:rsidR="00392691" w:rsidRPr="00F31B6B">
        <w:rPr>
          <w:rFonts w:ascii="Public Sans" w:hAnsi="Public Sans"/>
        </w:rPr>
        <w:t>9</w:t>
      </w:r>
      <w:r w:rsidR="003236E3" w:rsidRPr="00F31B6B">
        <w:rPr>
          <w:rFonts w:ascii="Public Sans" w:hAnsi="Public Sans"/>
        </w:rPr>
        <w:t>.</w:t>
      </w:r>
      <w:r w:rsidR="00392691" w:rsidRPr="00F31B6B">
        <w:rPr>
          <w:rFonts w:ascii="Public Sans" w:hAnsi="Public Sans"/>
        </w:rPr>
        <w:t>3</w:t>
      </w:r>
      <w:r w:rsidR="003236E3" w:rsidRPr="00F31B6B">
        <w:rPr>
          <w:rFonts w:ascii="Public Sans" w:hAnsi="Public Sans"/>
        </w:rPr>
        <w:t xml:space="preserve">% of reports about adults with disability, and the adult with disability </w:t>
      </w:r>
      <w:r w:rsidR="001913B9" w:rsidRPr="00F31B6B">
        <w:rPr>
          <w:rFonts w:ascii="Public Sans" w:hAnsi="Public Sans"/>
        </w:rPr>
        <w:t>(‘</w:t>
      </w:r>
      <w:r w:rsidR="00392691" w:rsidRPr="00F31B6B">
        <w:rPr>
          <w:rFonts w:ascii="Public Sans" w:hAnsi="Public Sans"/>
        </w:rPr>
        <w:t>P</w:t>
      </w:r>
      <w:r w:rsidR="001913B9" w:rsidRPr="00F31B6B">
        <w:rPr>
          <w:rFonts w:ascii="Public Sans" w:hAnsi="Public Sans"/>
        </w:rPr>
        <w:t xml:space="preserve">erson </w:t>
      </w:r>
      <w:r w:rsidR="005E1479" w:rsidRPr="00F31B6B">
        <w:rPr>
          <w:rFonts w:ascii="Public Sans" w:hAnsi="Public Sans"/>
        </w:rPr>
        <w:t>E</w:t>
      </w:r>
      <w:r w:rsidR="001913B9" w:rsidRPr="00F31B6B">
        <w:rPr>
          <w:rFonts w:ascii="Public Sans" w:hAnsi="Public Sans"/>
        </w:rPr>
        <w:t xml:space="preserve">xperiencing </w:t>
      </w:r>
      <w:r w:rsidR="005E1479" w:rsidRPr="00F31B6B">
        <w:rPr>
          <w:rFonts w:ascii="Public Sans" w:hAnsi="Public Sans"/>
        </w:rPr>
        <w:t>A</w:t>
      </w:r>
      <w:r w:rsidR="001913B9" w:rsidRPr="00F31B6B">
        <w:rPr>
          <w:rFonts w:ascii="Public Sans" w:hAnsi="Public Sans"/>
        </w:rPr>
        <w:t xml:space="preserve">buse’) </w:t>
      </w:r>
      <w:r w:rsidR="003236E3" w:rsidRPr="00F31B6B">
        <w:rPr>
          <w:rFonts w:ascii="Public Sans" w:hAnsi="Public Sans"/>
        </w:rPr>
        <w:t>was the reporter in 1</w:t>
      </w:r>
      <w:r w:rsidR="005E1479" w:rsidRPr="00F31B6B">
        <w:rPr>
          <w:rFonts w:ascii="Public Sans" w:hAnsi="Public Sans"/>
        </w:rPr>
        <w:t>0</w:t>
      </w:r>
      <w:r w:rsidR="00CC5297" w:rsidRPr="00F31B6B">
        <w:rPr>
          <w:rFonts w:ascii="Public Sans" w:hAnsi="Public Sans"/>
        </w:rPr>
        <w:t>.</w:t>
      </w:r>
      <w:r w:rsidR="005E1479" w:rsidRPr="00F31B6B">
        <w:rPr>
          <w:rFonts w:ascii="Public Sans" w:hAnsi="Public Sans"/>
        </w:rPr>
        <w:t>6</w:t>
      </w:r>
      <w:r w:rsidR="003236E3" w:rsidRPr="00F31B6B">
        <w:rPr>
          <w:rFonts w:ascii="Public Sans" w:hAnsi="Public Sans"/>
        </w:rPr>
        <w:t>% of cases.</w:t>
      </w:r>
    </w:p>
    <w:p w14:paraId="42162CB5" w14:textId="77777777" w:rsidR="00936332" w:rsidRPr="00F31B6B" w:rsidRDefault="00936332" w:rsidP="0093633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67BE0600" w14:textId="1BC0D215" w:rsidR="00936332" w:rsidRPr="00F31B6B" w:rsidRDefault="00936332" w:rsidP="00CF5191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31B6B">
        <w:rPr>
          <w:rFonts w:ascii="Public Sans" w:eastAsia="Helvetica" w:hAnsi="Public Sans" w:cs="Segoe UI"/>
          <w:b/>
          <w:sz w:val="18"/>
        </w:rPr>
        <w:t xml:space="preserve">Figure </w:t>
      </w:r>
      <w:r w:rsidR="00B5592F" w:rsidRPr="00F31B6B">
        <w:rPr>
          <w:rFonts w:ascii="Public Sans" w:eastAsia="Helvetica" w:hAnsi="Public Sans" w:cs="Segoe UI"/>
          <w:b/>
          <w:sz w:val="18"/>
        </w:rPr>
        <w:t>1</w:t>
      </w:r>
      <w:r w:rsidR="00912720">
        <w:rPr>
          <w:rFonts w:ascii="Public Sans" w:eastAsia="Helvetica" w:hAnsi="Public Sans" w:cs="Segoe UI"/>
          <w:b/>
          <w:sz w:val="18"/>
        </w:rPr>
        <w:t>0</w:t>
      </w:r>
      <w:r w:rsidRPr="00F31B6B">
        <w:rPr>
          <w:rFonts w:ascii="Public Sans" w:eastAsia="Helvetica" w:hAnsi="Public Sans" w:cs="Segoe UI"/>
          <w:b/>
          <w:sz w:val="18"/>
        </w:rPr>
        <w:t xml:space="preserve">: Relationship of reporter to the adult with disability in reports to the ADC, </w:t>
      </w:r>
      <w:r w:rsidR="008C1002" w:rsidRPr="00F31B6B">
        <w:rPr>
          <w:rFonts w:ascii="Public Sans" w:eastAsia="Helvetica" w:hAnsi="Public Sans" w:cs="Segoe UI"/>
          <w:b/>
          <w:sz w:val="18"/>
        </w:rPr>
        <w:t>202</w:t>
      </w:r>
      <w:r w:rsidR="00A95DA7" w:rsidRPr="00F31B6B">
        <w:rPr>
          <w:rFonts w:ascii="Public Sans" w:eastAsia="Helvetica" w:hAnsi="Public Sans" w:cs="Segoe UI"/>
          <w:b/>
          <w:sz w:val="18"/>
        </w:rPr>
        <w:t>3</w:t>
      </w:r>
      <w:r w:rsidR="008C1002" w:rsidRPr="00F31B6B">
        <w:rPr>
          <w:rFonts w:ascii="Public Sans" w:eastAsia="Helvetica" w:hAnsi="Public Sans" w:cs="Segoe UI"/>
          <w:b/>
          <w:sz w:val="18"/>
        </w:rPr>
        <w:t>-2</w:t>
      </w:r>
      <w:r w:rsidR="00A95DA7" w:rsidRPr="00F31B6B">
        <w:rPr>
          <w:rFonts w:ascii="Public Sans" w:eastAsia="Helvetica" w:hAnsi="Public Sans" w:cs="Segoe UI"/>
          <w:b/>
          <w:sz w:val="18"/>
        </w:rPr>
        <w:t>4</w:t>
      </w:r>
    </w:p>
    <w:p w14:paraId="7FF91D91" w14:textId="31EE1221" w:rsidR="00CF5191" w:rsidRDefault="00965339" w:rsidP="0096363F">
      <w:pPr>
        <w:tabs>
          <w:tab w:val="left" w:pos="6237"/>
        </w:tabs>
        <w:rPr>
          <w:rFonts w:ascii="Public Sans" w:hAnsi="Public Sans"/>
        </w:rPr>
      </w:pPr>
      <w:r w:rsidRPr="00F31B6B">
        <w:rPr>
          <w:noProof/>
        </w:rPr>
        <w:drawing>
          <wp:inline distT="0" distB="0" distL="0" distR="0" wp14:anchorId="153A44F9" wp14:editId="2478D6C0">
            <wp:extent cx="6119495" cy="2952750"/>
            <wp:effectExtent l="0" t="0" r="14605" b="0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2F02F47" w14:textId="77777777" w:rsidR="00FA1892" w:rsidRDefault="00FA1892" w:rsidP="00FA1892">
      <w:pPr>
        <w:tabs>
          <w:tab w:val="left" w:pos="6237"/>
        </w:tabs>
        <w:spacing w:after="0" w:line="240" w:lineRule="auto"/>
        <w:rPr>
          <w:rFonts w:ascii="Public Sans" w:hAnsi="Public Sans"/>
        </w:rPr>
      </w:pPr>
    </w:p>
    <w:p w14:paraId="4CDF8DD1" w14:textId="77777777" w:rsidR="00BC47A9" w:rsidRPr="00F31B6B" w:rsidRDefault="00BC47A9" w:rsidP="00FA1892">
      <w:pPr>
        <w:tabs>
          <w:tab w:val="left" w:pos="6237"/>
        </w:tabs>
        <w:spacing w:after="0" w:line="240" w:lineRule="auto"/>
        <w:rPr>
          <w:rFonts w:ascii="Public Sans" w:hAnsi="Public Sans"/>
        </w:rPr>
      </w:pPr>
    </w:p>
    <w:p w14:paraId="235263FA" w14:textId="77777777" w:rsidR="00075101" w:rsidRPr="00F31B6B" w:rsidRDefault="00104A3D" w:rsidP="007A4BC6">
      <w:pPr>
        <w:pStyle w:val="Heading1"/>
        <w:keepNext w:val="0"/>
        <w:keepLines w:val="0"/>
        <w:widowControl w:val="0"/>
        <w:numPr>
          <w:ilvl w:val="0"/>
          <w:numId w:val="10"/>
        </w:numPr>
        <w:spacing w:before="0" w:after="0"/>
        <w:ind w:left="426" w:hanging="426"/>
        <w:rPr>
          <w:rFonts w:ascii="Public Sans" w:hAnsi="Public Sans" w:cs="Segoe UI"/>
          <w:b/>
        </w:rPr>
      </w:pPr>
      <w:r w:rsidRPr="00F31B6B">
        <w:rPr>
          <w:rFonts w:ascii="Public Sans" w:hAnsi="Public Sans" w:cs="Segoe UI"/>
          <w:b/>
        </w:rPr>
        <w:t>Subjects of allegation</w:t>
      </w:r>
    </w:p>
    <w:p w14:paraId="2AD2359A" w14:textId="77777777" w:rsidR="00F47D6A" w:rsidRPr="00F31B6B" w:rsidRDefault="00F47D6A" w:rsidP="00F6632E">
      <w:pPr>
        <w:pStyle w:val="Heading2"/>
        <w:rPr>
          <w:rFonts w:ascii="Public Sans" w:hAnsi="Public Sans"/>
          <w:b/>
          <w:sz w:val="18"/>
        </w:rPr>
      </w:pPr>
    </w:p>
    <w:p w14:paraId="5D5F2F3C" w14:textId="77777777" w:rsidR="00E134D4" w:rsidRPr="00F31B6B" w:rsidRDefault="00E134D4" w:rsidP="000704C5">
      <w:pPr>
        <w:pStyle w:val="Heading2"/>
        <w:spacing w:before="0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>4.1 Relationship of the subject of allegation to the adult</w:t>
      </w:r>
    </w:p>
    <w:p w14:paraId="27A3E5EB" w14:textId="77777777" w:rsidR="00F47D6A" w:rsidRPr="00F31B6B" w:rsidRDefault="00F47D6A" w:rsidP="007A4BC6">
      <w:pPr>
        <w:pStyle w:val="Heading3"/>
        <w:spacing w:before="0"/>
        <w:rPr>
          <w:rFonts w:ascii="Public Sans" w:eastAsia="Helvetica" w:hAnsi="Public Sans"/>
          <w:b/>
          <w:sz w:val="18"/>
        </w:rPr>
      </w:pPr>
    </w:p>
    <w:p w14:paraId="55B82909" w14:textId="77777777" w:rsidR="001A6FB2" w:rsidRPr="00F31B6B" w:rsidRDefault="001A6FB2" w:rsidP="007A4BC6">
      <w:pPr>
        <w:pStyle w:val="Heading3"/>
        <w:spacing w:before="0"/>
        <w:rPr>
          <w:rFonts w:ascii="Public Sans" w:eastAsia="Helvetica" w:hAnsi="Public Sans"/>
          <w:b/>
        </w:rPr>
      </w:pPr>
      <w:r w:rsidRPr="00F31B6B">
        <w:rPr>
          <w:rFonts w:ascii="Public Sans" w:eastAsia="Helvetica" w:hAnsi="Public Sans"/>
          <w:b/>
        </w:rPr>
        <w:t>Older people</w:t>
      </w:r>
    </w:p>
    <w:p w14:paraId="150B0EBF" w14:textId="06BF3068" w:rsidR="00F025EF" w:rsidRPr="00F31B6B" w:rsidRDefault="00FB2875" w:rsidP="00DB0E60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>The subjects of allegation in o</w:t>
      </w:r>
      <w:r w:rsidR="00F025EF" w:rsidRPr="00F31B6B">
        <w:rPr>
          <w:rFonts w:ascii="Public Sans" w:eastAsia="Helvetica" w:hAnsi="Public Sans" w:cs="Segoe UI"/>
        </w:rPr>
        <w:t>ver half (5</w:t>
      </w:r>
      <w:r w:rsidR="008738A0" w:rsidRPr="00F31B6B">
        <w:rPr>
          <w:rFonts w:ascii="Public Sans" w:eastAsia="Helvetica" w:hAnsi="Public Sans" w:cs="Segoe UI"/>
        </w:rPr>
        <w:t>7</w:t>
      </w:r>
      <w:r w:rsidR="00D72A12" w:rsidRPr="00F31B6B">
        <w:rPr>
          <w:rFonts w:ascii="Public Sans" w:eastAsia="Helvetica" w:hAnsi="Public Sans" w:cs="Segoe UI"/>
        </w:rPr>
        <w:t>.</w:t>
      </w:r>
      <w:r w:rsidR="00D4119B" w:rsidRPr="00F31B6B">
        <w:rPr>
          <w:rFonts w:ascii="Public Sans" w:eastAsia="Helvetica" w:hAnsi="Public Sans" w:cs="Segoe UI"/>
        </w:rPr>
        <w:t>1</w:t>
      </w:r>
      <w:r w:rsidR="00D72A12" w:rsidRPr="00F31B6B">
        <w:rPr>
          <w:rFonts w:ascii="Public Sans" w:eastAsia="Helvetica" w:hAnsi="Public Sans" w:cs="Segoe UI"/>
        </w:rPr>
        <w:t>%</w:t>
      </w:r>
      <w:r w:rsidR="00F025EF" w:rsidRPr="00F31B6B">
        <w:rPr>
          <w:rFonts w:ascii="Public Sans" w:eastAsia="Helvetica" w:hAnsi="Public Sans" w:cs="Segoe UI"/>
        </w:rPr>
        <w:t xml:space="preserve">) of the </w:t>
      </w:r>
      <w:r w:rsidR="00F17A44" w:rsidRPr="00F31B6B">
        <w:rPr>
          <w:rFonts w:ascii="Public Sans" w:eastAsia="Helvetica" w:hAnsi="Public Sans" w:cs="Segoe UI"/>
        </w:rPr>
        <w:t>3,</w:t>
      </w:r>
      <w:r w:rsidR="00D4119B" w:rsidRPr="00F31B6B">
        <w:rPr>
          <w:rFonts w:ascii="Public Sans" w:eastAsia="Helvetica" w:hAnsi="Public Sans" w:cs="Segoe UI"/>
        </w:rPr>
        <w:t>704</w:t>
      </w:r>
      <w:r w:rsidR="00F025EF" w:rsidRPr="00F31B6B">
        <w:rPr>
          <w:rFonts w:ascii="Public Sans" w:eastAsia="Helvetica" w:hAnsi="Public Sans" w:cs="Segoe UI"/>
        </w:rPr>
        <w:t xml:space="preserve"> reports about older people in </w:t>
      </w:r>
      <w:r w:rsidR="00EE322A" w:rsidRPr="00F31B6B">
        <w:rPr>
          <w:rFonts w:ascii="Public Sans" w:eastAsia="Helvetica" w:hAnsi="Public Sans" w:cs="Segoe UI"/>
        </w:rPr>
        <w:t>202</w:t>
      </w:r>
      <w:r w:rsidR="00D4119B" w:rsidRPr="00F31B6B">
        <w:rPr>
          <w:rFonts w:ascii="Public Sans" w:eastAsia="Helvetica" w:hAnsi="Public Sans" w:cs="Segoe UI"/>
        </w:rPr>
        <w:t>3</w:t>
      </w:r>
      <w:r w:rsidR="00EE322A" w:rsidRPr="00F31B6B">
        <w:rPr>
          <w:rFonts w:ascii="Public Sans" w:eastAsia="Helvetica" w:hAnsi="Public Sans" w:cs="Segoe UI"/>
        </w:rPr>
        <w:t>-2</w:t>
      </w:r>
      <w:r w:rsidR="00D4119B" w:rsidRPr="00F31B6B">
        <w:rPr>
          <w:rFonts w:ascii="Public Sans" w:eastAsia="Helvetica" w:hAnsi="Public Sans" w:cs="Segoe UI"/>
        </w:rPr>
        <w:t>4</w:t>
      </w:r>
      <w:r w:rsidR="00F025EF" w:rsidRPr="00F31B6B">
        <w:rPr>
          <w:rFonts w:ascii="Public Sans" w:eastAsia="Helvetica" w:hAnsi="Public Sans" w:cs="Segoe UI"/>
        </w:rPr>
        <w:t xml:space="preserve"> </w:t>
      </w:r>
      <w:r w:rsidRPr="00F31B6B">
        <w:rPr>
          <w:rFonts w:ascii="Public Sans" w:eastAsia="Helvetica" w:hAnsi="Public Sans" w:cs="Segoe UI"/>
        </w:rPr>
        <w:t>were</w:t>
      </w:r>
      <w:r w:rsidR="00F025EF" w:rsidRPr="00F31B6B">
        <w:rPr>
          <w:rFonts w:ascii="Public Sans" w:eastAsia="Helvetica" w:hAnsi="Public Sans" w:cs="Segoe UI"/>
        </w:rPr>
        <w:t xml:space="preserve"> the person’s adult children. All up, relatives were the subjects of allegation in 6</w:t>
      </w:r>
      <w:r w:rsidR="00BD6D17" w:rsidRPr="00F31B6B">
        <w:rPr>
          <w:rFonts w:ascii="Public Sans" w:eastAsia="Helvetica" w:hAnsi="Public Sans" w:cs="Segoe UI"/>
        </w:rPr>
        <w:t>3</w:t>
      </w:r>
      <w:r w:rsidR="007C3046" w:rsidRPr="00F31B6B">
        <w:rPr>
          <w:rFonts w:ascii="Public Sans" w:eastAsia="Helvetica" w:hAnsi="Public Sans" w:cs="Segoe UI"/>
        </w:rPr>
        <w:t>.</w:t>
      </w:r>
      <w:r w:rsidR="00BD6D17" w:rsidRPr="00F31B6B">
        <w:rPr>
          <w:rFonts w:ascii="Public Sans" w:eastAsia="Helvetica" w:hAnsi="Public Sans" w:cs="Segoe UI"/>
        </w:rPr>
        <w:t>5</w:t>
      </w:r>
      <w:r w:rsidR="00F025EF" w:rsidRPr="00F31B6B">
        <w:rPr>
          <w:rFonts w:ascii="Public Sans" w:eastAsia="Helvetica" w:hAnsi="Public Sans" w:cs="Segoe UI"/>
        </w:rPr>
        <w:t>% of the reports about older people. Allegations against a spouse or partner (or ex-spouse/</w:t>
      </w:r>
      <w:r w:rsidR="00F1114B" w:rsidRPr="00F31B6B">
        <w:rPr>
          <w:rFonts w:ascii="Public Sans" w:eastAsia="Helvetica" w:hAnsi="Public Sans" w:cs="Segoe UI"/>
        </w:rPr>
        <w:t xml:space="preserve"> </w:t>
      </w:r>
      <w:r w:rsidR="00F025EF" w:rsidRPr="00F31B6B">
        <w:rPr>
          <w:rFonts w:ascii="Public Sans" w:eastAsia="Helvetica" w:hAnsi="Public Sans" w:cs="Segoe UI"/>
        </w:rPr>
        <w:t>partner) featured in 1</w:t>
      </w:r>
      <w:r w:rsidR="00CD1EB1" w:rsidRPr="00F31B6B">
        <w:rPr>
          <w:rFonts w:ascii="Public Sans" w:eastAsia="Helvetica" w:hAnsi="Public Sans" w:cs="Segoe UI"/>
        </w:rPr>
        <w:t>3</w:t>
      </w:r>
      <w:r w:rsidR="007C3046" w:rsidRPr="00F31B6B">
        <w:rPr>
          <w:rFonts w:ascii="Public Sans" w:eastAsia="Helvetica" w:hAnsi="Public Sans" w:cs="Segoe UI"/>
        </w:rPr>
        <w:t>.</w:t>
      </w:r>
      <w:r w:rsidR="00CD1EB1" w:rsidRPr="00F31B6B">
        <w:rPr>
          <w:rFonts w:ascii="Public Sans" w:eastAsia="Helvetica" w:hAnsi="Public Sans" w:cs="Segoe UI"/>
        </w:rPr>
        <w:t>2</w:t>
      </w:r>
      <w:r w:rsidR="00F025EF" w:rsidRPr="00F31B6B">
        <w:rPr>
          <w:rFonts w:ascii="Public Sans" w:eastAsia="Helvetica" w:hAnsi="Public Sans" w:cs="Segoe UI"/>
        </w:rPr>
        <w:t xml:space="preserve">% of the reports about older people. </w:t>
      </w:r>
    </w:p>
    <w:p w14:paraId="64416C02" w14:textId="77777777" w:rsidR="00FB2875" w:rsidRPr="00F31B6B" w:rsidRDefault="00FB2875" w:rsidP="00FB2875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3A0D186F" w14:textId="21180AB6" w:rsidR="00F6632E" w:rsidRPr="00F31B6B" w:rsidRDefault="00766409" w:rsidP="007A4BC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31B6B">
        <w:rPr>
          <w:rFonts w:ascii="Public Sans" w:eastAsia="Helvetica" w:hAnsi="Public Sans" w:cs="Segoe UI"/>
          <w:b/>
          <w:sz w:val="18"/>
        </w:rPr>
        <w:t>Figure 1</w:t>
      </w:r>
      <w:r w:rsidR="00912720">
        <w:rPr>
          <w:rFonts w:ascii="Public Sans" w:eastAsia="Helvetica" w:hAnsi="Public Sans" w:cs="Segoe UI"/>
          <w:b/>
          <w:sz w:val="18"/>
        </w:rPr>
        <w:t>1</w:t>
      </w:r>
      <w:r w:rsidR="00BB5217" w:rsidRPr="00F31B6B">
        <w:rPr>
          <w:rFonts w:ascii="Public Sans" w:eastAsia="Helvetica" w:hAnsi="Public Sans" w:cs="Segoe UI"/>
          <w:b/>
          <w:sz w:val="18"/>
        </w:rPr>
        <w:t xml:space="preserve">: Relationship of the subject of allegation to the older person in reports to the ADC, </w:t>
      </w:r>
      <w:r w:rsidR="00CA2B54" w:rsidRPr="00F31B6B">
        <w:rPr>
          <w:rFonts w:ascii="Public Sans" w:eastAsia="Helvetica" w:hAnsi="Public Sans" w:cs="Segoe UI"/>
          <w:b/>
          <w:sz w:val="18"/>
        </w:rPr>
        <w:t>202</w:t>
      </w:r>
      <w:r w:rsidR="00C3482F" w:rsidRPr="00F31B6B">
        <w:rPr>
          <w:rFonts w:ascii="Public Sans" w:eastAsia="Helvetica" w:hAnsi="Public Sans" w:cs="Segoe UI"/>
          <w:b/>
          <w:sz w:val="18"/>
        </w:rPr>
        <w:t>3</w:t>
      </w:r>
      <w:r w:rsidR="00CA2B54" w:rsidRPr="00F31B6B">
        <w:rPr>
          <w:rFonts w:ascii="Public Sans" w:eastAsia="Helvetica" w:hAnsi="Public Sans" w:cs="Segoe UI"/>
          <w:b/>
          <w:sz w:val="18"/>
        </w:rPr>
        <w:t>-</w:t>
      </w:r>
      <w:r w:rsidR="00F6632E" w:rsidRPr="00F31B6B">
        <w:rPr>
          <w:rFonts w:ascii="Public Sans" w:eastAsia="Helvetica" w:hAnsi="Public Sans" w:cs="Segoe UI"/>
          <w:b/>
          <w:sz w:val="18"/>
        </w:rPr>
        <w:t>2</w:t>
      </w:r>
      <w:r w:rsidR="00C3482F" w:rsidRPr="00F31B6B">
        <w:rPr>
          <w:rFonts w:ascii="Public Sans" w:eastAsia="Helvetica" w:hAnsi="Public Sans" w:cs="Segoe UI"/>
          <w:b/>
          <w:sz w:val="18"/>
        </w:rPr>
        <w:t>4</w:t>
      </w:r>
    </w:p>
    <w:p w14:paraId="236F2BC6" w14:textId="4F0AD79E" w:rsidR="00F6632E" w:rsidRPr="00F31B6B" w:rsidRDefault="003D1D43" w:rsidP="007A4BC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20"/>
        </w:rPr>
      </w:pPr>
      <w:r>
        <w:rPr>
          <w:noProof/>
        </w:rPr>
        <w:drawing>
          <wp:inline distT="0" distB="0" distL="0" distR="0" wp14:anchorId="6DFEAA07" wp14:editId="03894E4A">
            <wp:extent cx="6119495" cy="3000375"/>
            <wp:effectExtent l="0" t="0" r="14605" b="952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11CD8B1-7496-5D4C-7465-32152D30C5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AEF0F69" w14:textId="77777777" w:rsidR="009721C6" w:rsidRPr="00F31B6B" w:rsidRDefault="009721C6" w:rsidP="00936332">
      <w:pPr>
        <w:pStyle w:val="Heading3"/>
        <w:spacing w:before="0"/>
        <w:rPr>
          <w:rFonts w:ascii="Public Sans" w:eastAsia="Helvetica" w:hAnsi="Public Sans"/>
          <w:b/>
          <w:sz w:val="22"/>
        </w:rPr>
      </w:pPr>
    </w:p>
    <w:p w14:paraId="402F3019" w14:textId="77777777" w:rsidR="00936332" w:rsidRPr="00F31B6B" w:rsidRDefault="00936332" w:rsidP="00936332">
      <w:pPr>
        <w:pStyle w:val="Heading3"/>
        <w:spacing w:before="0"/>
        <w:rPr>
          <w:rFonts w:ascii="Public Sans" w:eastAsia="Helvetica" w:hAnsi="Public Sans"/>
          <w:b/>
        </w:rPr>
      </w:pPr>
      <w:r w:rsidRPr="00F31B6B">
        <w:rPr>
          <w:rFonts w:ascii="Public Sans" w:eastAsia="Helvetica" w:hAnsi="Public Sans"/>
          <w:b/>
        </w:rPr>
        <w:t>Adults with disability</w:t>
      </w:r>
    </w:p>
    <w:p w14:paraId="6D54F9C8" w14:textId="11CAF7A3" w:rsidR="00F025EF" w:rsidRPr="00F31B6B" w:rsidRDefault="00F025EF" w:rsidP="00F025EF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 xml:space="preserve">In </w:t>
      </w:r>
      <w:r w:rsidR="008E0C84" w:rsidRPr="00F31B6B">
        <w:rPr>
          <w:rFonts w:ascii="Public Sans" w:eastAsia="Helvetica" w:hAnsi="Public Sans" w:cs="Segoe UI"/>
        </w:rPr>
        <w:t>3</w:t>
      </w:r>
      <w:r w:rsidR="0012057E" w:rsidRPr="00F31B6B">
        <w:rPr>
          <w:rFonts w:ascii="Public Sans" w:eastAsia="Helvetica" w:hAnsi="Public Sans" w:cs="Segoe UI"/>
        </w:rPr>
        <w:t>4</w:t>
      </w:r>
      <w:r w:rsidR="008E0C84" w:rsidRPr="00F31B6B">
        <w:rPr>
          <w:rFonts w:ascii="Public Sans" w:eastAsia="Helvetica" w:hAnsi="Public Sans" w:cs="Segoe UI"/>
        </w:rPr>
        <w:t>.</w:t>
      </w:r>
      <w:r w:rsidR="0012057E" w:rsidRPr="00F31B6B">
        <w:rPr>
          <w:rFonts w:ascii="Public Sans" w:eastAsia="Helvetica" w:hAnsi="Public Sans" w:cs="Segoe UI"/>
        </w:rPr>
        <w:t>7</w:t>
      </w:r>
      <w:r w:rsidR="00767B8F" w:rsidRPr="00F31B6B">
        <w:rPr>
          <w:rFonts w:ascii="Public Sans" w:eastAsia="Helvetica" w:hAnsi="Public Sans" w:cs="Segoe UI"/>
        </w:rPr>
        <w:t>%</w:t>
      </w:r>
      <w:r w:rsidRPr="00F31B6B">
        <w:rPr>
          <w:rFonts w:ascii="Public Sans" w:eastAsia="Helvetica" w:hAnsi="Public Sans" w:cs="Segoe UI"/>
        </w:rPr>
        <w:t xml:space="preserve"> of the </w:t>
      </w:r>
      <w:r w:rsidR="008E0C84" w:rsidRPr="00F31B6B">
        <w:rPr>
          <w:rFonts w:ascii="Public Sans" w:eastAsia="Helvetica" w:hAnsi="Public Sans" w:cs="Segoe UI"/>
        </w:rPr>
        <w:t>1,</w:t>
      </w:r>
      <w:r w:rsidR="00AF380B" w:rsidRPr="00F31B6B">
        <w:rPr>
          <w:rFonts w:ascii="Public Sans" w:eastAsia="Helvetica" w:hAnsi="Public Sans" w:cs="Segoe UI"/>
        </w:rPr>
        <w:t>102</w:t>
      </w:r>
      <w:r w:rsidRPr="00F31B6B">
        <w:rPr>
          <w:rFonts w:ascii="Public Sans" w:eastAsia="Helvetica" w:hAnsi="Public Sans" w:cs="Segoe UI"/>
        </w:rPr>
        <w:t xml:space="preserve"> reports about adults with disability in </w:t>
      </w:r>
      <w:r w:rsidR="002A062E" w:rsidRPr="00F31B6B">
        <w:rPr>
          <w:rFonts w:ascii="Public Sans" w:eastAsia="Helvetica" w:hAnsi="Public Sans" w:cs="Segoe UI"/>
        </w:rPr>
        <w:t>202</w:t>
      </w:r>
      <w:r w:rsidR="00AF380B" w:rsidRPr="00F31B6B">
        <w:rPr>
          <w:rFonts w:ascii="Public Sans" w:eastAsia="Helvetica" w:hAnsi="Public Sans" w:cs="Segoe UI"/>
        </w:rPr>
        <w:t>3</w:t>
      </w:r>
      <w:r w:rsidR="002A062E" w:rsidRPr="00F31B6B">
        <w:rPr>
          <w:rFonts w:ascii="Public Sans" w:eastAsia="Helvetica" w:hAnsi="Public Sans" w:cs="Segoe UI"/>
        </w:rPr>
        <w:t>-</w:t>
      </w:r>
      <w:r w:rsidRPr="00F31B6B">
        <w:rPr>
          <w:rFonts w:ascii="Public Sans" w:eastAsia="Helvetica" w:hAnsi="Public Sans" w:cs="Segoe UI"/>
        </w:rPr>
        <w:t>2</w:t>
      </w:r>
      <w:r w:rsidR="00AF380B" w:rsidRPr="00F31B6B">
        <w:rPr>
          <w:rFonts w:ascii="Public Sans" w:eastAsia="Helvetica" w:hAnsi="Public Sans" w:cs="Segoe UI"/>
        </w:rPr>
        <w:t>4</w:t>
      </w:r>
      <w:r w:rsidRPr="00F31B6B">
        <w:rPr>
          <w:rFonts w:ascii="Public Sans" w:eastAsia="Helvetica" w:hAnsi="Public Sans" w:cs="Segoe UI"/>
        </w:rPr>
        <w:t xml:space="preserve">, the allegations pertained to the adult’s parent(s). All up, relatives were the subjects of allegation in </w:t>
      </w:r>
      <w:r w:rsidR="008E0C84" w:rsidRPr="00F31B6B">
        <w:rPr>
          <w:rFonts w:ascii="Public Sans" w:eastAsia="Helvetica" w:hAnsi="Public Sans" w:cs="Segoe UI"/>
        </w:rPr>
        <w:t>5</w:t>
      </w:r>
      <w:r w:rsidR="00D06A9B" w:rsidRPr="00F31B6B">
        <w:rPr>
          <w:rFonts w:ascii="Public Sans" w:eastAsia="Helvetica" w:hAnsi="Public Sans" w:cs="Segoe UI"/>
        </w:rPr>
        <w:t>2</w:t>
      </w:r>
      <w:r w:rsidR="00A623E4" w:rsidRPr="00F31B6B">
        <w:rPr>
          <w:rFonts w:ascii="Public Sans" w:eastAsia="Helvetica" w:hAnsi="Public Sans" w:cs="Segoe UI"/>
        </w:rPr>
        <w:t>.</w:t>
      </w:r>
      <w:r w:rsidR="00D06A9B" w:rsidRPr="00F31B6B">
        <w:rPr>
          <w:rFonts w:ascii="Public Sans" w:eastAsia="Helvetica" w:hAnsi="Public Sans" w:cs="Segoe UI"/>
        </w:rPr>
        <w:t>9</w:t>
      </w:r>
      <w:r w:rsidR="00F35C40" w:rsidRPr="00F31B6B">
        <w:rPr>
          <w:rFonts w:ascii="Public Sans" w:eastAsia="Helvetica" w:hAnsi="Public Sans" w:cs="Segoe UI"/>
        </w:rPr>
        <w:t>%</w:t>
      </w:r>
      <w:r w:rsidRPr="00F31B6B">
        <w:rPr>
          <w:rFonts w:ascii="Public Sans" w:eastAsia="Helvetica" w:hAnsi="Public Sans" w:cs="Segoe UI"/>
        </w:rPr>
        <w:t xml:space="preserve"> of the reports about adults with disability</w:t>
      </w:r>
      <w:r w:rsidR="002A062E" w:rsidRPr="00F31B6B">
        <w:rPr>
          <w:rFonts w:ascii="Public Sans" w:eastAsia="Helvetica" w:hAnsi="Public Sans" w:cs="Segoe UI"/>
        </w:rPr>
        <w:t>.</w:t>
      </w:r>
      <w:r w:rsidRPr="00F31B6B">
        <w:rPr>
          <w:rFonts w:ascii="Public Sans" w:eastAsia="Helvetica" w:hAnsi="Public Sans" w:cs="Segoe UI"/>
        </w:rPr>
        <w:t xml:space="preserve"> In </w:t>
      </w:r>
      <w:r w:rsidR="008E0C84" w:rsidRPr="00F31B6B">
        <w:rPr>
          <w:rFonts w:ascii="Public Sans" w:eastAsia="Helvetica" w:hAnsi="Public Sans" w:cs="Segoe UI"/>
        </w:rPr>
        <w:t>1</w:t>
      </w:r>
      <w:r w:rsidR="00AE53F9" w:rsidRPr="00F31B6B">
        <w:rPr>
          <w:rFonts w:ascii="Public Sans" w:eastAsia="Helvetica" w:hAnsi="Public Sans" w:cs="Segoe UI"/>
        </w:rPr>
        <w:t>3</w:t>
      </w:r>
      <w:r w:rsidR="008E0C84" w:rsidRPr="00F31B6B">
        <w:rPr>
          <w:rFonts w:ascii="Public Sans" w:eastAsia="Helvetica" w:hAnsi="Public Sans" w:cs="Segoe UI"/>
        </w:rPr>
        <w:t>.2</w:t>
      </w:r>
      <w:r w:rsidRPr="00F31B6B">
        <w:rPr>
          <w:rFonts w:ascii="Public Sans" w:eastAsia="Helvetica" w:hAnsi="Public Sans" w:cs="Segoe UI"/>
        </w:rPr>
        <w:t xml:space="preserve">% of matters, the adult’s spouse or partner (or ex-spouse/partner) was the subject of the allegations. </w:t>
      </w:r>
    </w:p>
    <w:p w14:paraId="6FFF7187" w14:textId="77777777" w:rsidR="002A062E" w:rsidRPr="00F31B6B" w:rsidRDefault="002A062E" w:rsidP="002A062E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11F07AB5" w14:textId="1A8D34A0" w:rsidR="00936332" w:rsidRPr="00F31B6B" w:rsidRDefault="00936332" w:rsidP="0093633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31B6B">
        <w:rPr>
          <w:rFonts w:ascii="Public Sans" w:eastAsia="Helvetica" w:hAnsi="Public Sans" w:cs="Segoe UI"/>
          <w:b/>
          <w:sz w:val="18"/>
        </w:rPr>
        <w:t xml:space="preserve">Figure </w:t>
      </w:r>
      <w:r w:rsidR="00766409" w:rsidRPr="00F31B6B">
        <w:rPr>
          <w:rFonts w:ascii="Public Sans" w:eastAsia="Helvetica" w:hAnsi="Public Sans" w:cs="Segoe UI"/>
          <w:b/>
          <w:sz w:val="18"/>
        </w:rPr>
        <w:t>1</w:t>
      </w:r>
      <w:r w:rsidR="00912720">
        <w:rPr>
          <w:rFonts w:ascii="Public Sans" w:eastAsia="Helvetica" w:hAnsi="Public Sans" w:cs="Segoe UI"/>
          <w:b/>
          <w:sz w:val="18"/>
        </w:rPr>
        <w:t>2</w:t>
      </w:r>
      <w:r w:rsidRPr="00F31B6B">
        <w:rPr>
          <w:rFonts w:ascii="Public Sans" w:eastAsia="Helvetica" w:hAnsi="Public Sans" w:cs="Segoe UI"/>
          <w:b/>
          <w:sz w:val="18"/>
        </w:rPr>
        <w:t xml:space="preserve">: Relationship of the subject of allegation to the adult with disability in reports to the ADC, </w:t>
      </w:r>
      <w:r w:rsidR="00B067A3" w:rsidRPr="00F31B6B">
        <w:rPr>
          <w:rFonts w:ascii="Public Sans" w:eastAsia="Helvetica" w:hAnsi="Public Sans" w:cs="Segoe UI"/>
          <w:b/>
          <w:sz w:val="18"/>
        </w:rPr>
        <w:t>20</w:t>
      </w:r>
      <w:r w:rsidR="008E0C84" w:rsidRPr="00F31B6B">
        <w:rPr>
          <w:rFonts w:ascii="Public Sans" w:eastAsia="Helvetica" w:hAnsi="Public Sans" w:cs="Segoe UI"/>
          <w:b/>
          <w:sz w:val="18"/>
        </w:rPr>
        <w:t>2</w:t>
      </w:r>
      <w:r w:rsidR="005F4043" w:rsidRPr="00F31B6B">
        <w:rPr>
          <w:rFonts w:ascii="Public Sans" w:eastAsia="Helvetica" w:hAnsi="Public Sans" w:cs="Segoe UI"/>
          <w:b/>
          <w:sz w:val="18"/>
        </w:rPr>
        <w:t>3</w:t>
      </w:r>
      <w:r w:rsidR="00B067A3" w:rsidRPr="00F31B6B">
        <w:rPr>
          <w:rFonts w:ascii="Public Sans" w:eastAsia="Helvetica" w:hAnsi="Public Sans" w:cs="Segoe UI"/>
          <w:b/>
          <w:sz w:val="18"/>
        </w:rPr>
        <w:t>-2</w:t>
      </w:r>
      <w:r w:rsidR="005F4043" w:rsidRPr="00F31B6B">
        <w:rPr>
          <w:rFonts w:ascii="Public Sans" w:eastAsia="Helvetica" w:hAnsi="Public Sans" w:cs="Segoe UI"/>
          <w:b/>
          <w:sz w:val="18"/>
        </w:rPr>
        <w:t>4</w:t>
      </w:r>
    </w:p>
    <w:p w14:paraId="51A02647" w14:textId="41260F11" w:rsidR="00F6632E" w:rsidRPr="00F31B6B" w:rsidRDefault="000C7F74" w:rsidP="0093633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20"/>
        </w:rPr>
      </w:pPr>
      <w:r>
        <w:rPr>
          <w:noProof/>
        </w:rPr>
        <w:drawing>
          <wp:inline distT="0" distB="0" distL="0" distR="0" wp14:anchorId="6C1CC9E0" wp14:editId="097A61BE">
            <wp:extent cx="6119495" cy="3009900"/>
            <wp:effectExtent l="0" t="0" r="14605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92B7EB0D-2E14-C86E-7ADA-59D0F468D9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7E9584C" w14:textId="77777777" w:rsidR="00F17A44" w:rsidRPr="00F31B6B" w:rsidRDefault="00F17A44" w:rsidP="0093633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20"/>
        </w:rPr>
      </w:pPr>
    </w:p>
    <w:p w14:paraId="1DED21AB" w14:textId="77777777" w:rsidR="00E403D8" w:rsidRPr="00F31B6B" w:rsidRDefault="00E403D8" w:rsidP="00E134D4">
      <w:pPr>
        <w:pStyle w:val="Heading1"/>
        <w:keepNext w:val="0"/>
        <w:keepLines w:val="0"/>
        <w:widowControl w:val="0"/>
        <w:numPr>
          <w:ilvl w:val="0"/>
          <w:numId w:val="10"/>
        </w:numPr>
        <w:spacing w:before="0" w:after="0"/>
        <w:ind w:left="426" w:hanging="426"/>
        <w:rPr>
          <w:rFonts w:ascii="Public Sans" w:hAnsi="Public Sans" w:cs="Segoe UI"/>
          <w:b/>
        </w:rPr>
      </w:pPr>
      <w:r w:rsidRPr="00F31B6B">
        <w:rPr>
          <w:rFonts w:ascii="Public Sans" w:hAnsi="Public Sans" w:cs="Segoe UI"/>
          <w:b/>
        </w:rPr>
        <w:t>Type of alleged abuse</w:t>
      </w:r>
    </w:p>
    <w:p w14:paraId="2D317098" w14:textId="77777777" w:rsidR="00576B62" w:rsidRPr="00F31B6B" w:rsidRDefault="00576B62" w:rsidP="007A4BC6">
      <w:pPr>
        <w:spacing w:after="0" w:line="240" w:lineRule="auto"/>
        <w:rPr>
          <w:rFonts w:ascii="Public Sans" w:hAnsi="Public Sans"/>
          <w:sz w:val="20"/>
        </w:rPr>
      </w:pPr>
    </w:p>
    <w:p w14:paraId="5CB93808" w14:textId="77777777" w:rsidR="00584B4E" w:rsidRPr="00F31B6B" w:rsidRDefault="00584B4E" w:rsidP="007A4BC6">
      <w:pPr>
        <w:pStyle w:val="Heading3"/>
        <w:spacing w:before="0"/>
        <w:rPr>
          <w:rFonts w:ascii="Public Sans" w:eastAsia="Helvetica" w:hAnsi="Public Sans"/>
          <w:b/>
        </w:rPr>
      </w:pPr>
      <w:r w:rsidRPr="00F31B6B">
        <w:rPr>
          <w:rFonts w:ascii="Public Sans" w:eastAsia="Helvetica" w:hAnsi="Public Sans"/>
          <w:b/>
        </w:rPr>
        <w:t>Older people</w:t>
      </w:r>
    </w:p>
    <w:p w14:paraId="48A76951" w14:textId="7374E5A2" w:rsidR="00D70038" w:rsidRPr="00F31B6B" w:rsidRDefault="00584B4E" w:rsidP="00274B3F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 xml:space="preserve">The </w:t>
      </w:r>
      <w:proofErr w:type="gramStart"/>
      <w:r w:rsidRPr="00F31B6B">
        <w:rPr>
          <w:rFonts w:ascii="Public Sans" w:eastAsia="Helvetica" w:hAnsi="Public Sans" w:cs="Segoe UI"/>
        </w:rPr>
        <w:t>most commonly reported</w:t>
      </w:r>
      <w:proofErr w:type="gramEnd"/>
      <w:r w:rsidRPr="00F31B6B">
        <w:rPr>
          <w:rFonts w:ascii="Public Sans" w:eastAsia="Helvetica" w:hAnsi="Public Sans" w:cs="Segoe UI"/>
        </w:rPr>
        <w:t xml:space="preserve"> types of alleged abuse in relation to </w:t>
      </w:r>
      <w:r w:rsidR="000F5954" w:rsidRPr="00F31B6B">
        <w:rPr>
          <w:rFonts w:ascii="Public Sans" w:eastAsia="Helvetica" w:hAnsi="Public Sans" w:cs="Segoe UI"/>
        </w:rPr>
        <w:t>older people</w:t>
      </w:r>
      <w:r w:rsidRPr="00F31B6B">
        <w:rPr>
          <w:rFonts w:ascii="Public Sans" w:eastAsia="Helvetica" w:hAnsi="Public Sans" w:cs="Segoe UI"/>
        </w:rPr>
        <w:t xml:space="preserve"> </w:t>
      </w:r>
      <w:r w:rsidR="0024622C" w:rsidRPr="00F31B6B">
        <w:rPr>
          <w:rFonts w:ascii="Public Sans" w:eastAsia="Helvetica" w:hAnsi="Public Sans" w:cs="Segoe UI"/>
        </w:rPr>
        <w:t xml:space="preserve">in </w:t>
      </w:r>
      <w:r w:rsidR="00491431" w:rsidRPr="00F31B6B">
        <w:rPr>
          <w:rFonts w:ascii="Public Sans" w:eastAsia="Helvetica" w:hAnsi="Public Sans" w:cs="Segoe UI"/>
        </w:rPr>
        <w:t>202</w:t>
      </w:r>
      <w:r w:rsidR="003E266B" w:rsidRPr="00F31B6B">
        <w:rPr>
          <w:rFonts w:ascii="Public Sans" w:eastAsia="Helvetica" w:hAnsi="Public Sans" w:cs="Segoe UI"/>
        </w:rPr>
        <w:t>3</w:t>
      </w:r>
      <w:r w:rsidR="00491431" w:rsidRPr="00F31B6B">
        <w:rPr>
          <w:rFonts w:ascii="Public Sans" w:eastAsia="Helvetica" w:hAnsi="Public Sans" w:cs="Segoe UI"/>
        </w:rPr>
        <w:t>-</w:t>
      </w:r>
      <w:r w:rsidR="0024622C" w:rsidRPr="00F31B6B">
        <w:rPr>
          <w:rFonts w:ascii="Public Sans" w:eastAsia="Helvetica" w:hAnsi="Public Sans" w:cs="Segoe UI"/>
        </w:rPr>
        <w:t>2</w:t>
      </w:r>
      <w:r w:rsidR="003E266B" w:rsidRPr="00F31B6B">
        <w:rPr>
          <w:rFonts w:ascii="Public Sans" w:eastAsia="Helvetica" w:hAnsi="Public Sans" w:cs="Segoe UI"/>
        </w:rPr>
        <w:t>4</w:t>
      </w:r>
      <w:r w:rsidR="0024622C" w:rsidRPr="00F31B6B">
        <w:rPr>
          <w:rFonts w:ascii="Public Sans" w:eastAsia="Helvetica" w:hAnsi="Public Sans" w:cs="Segoe UI"/>
        </w:rPr>
        <w:t xml:space="preserve"> were</w:t>
      </w:r>
      <w:r w:rsidRPr="00F31B6B">
        <w:rPr>
          <w:rFonts w:ascii="Public Sans" w:eastAsia="Helvetica" w:hAnsi="Public Sans" w:cs="Segoe UI"/>
        </w:rPr>
        <w:t xml:space="preserve"> psychological abuse</w:t>
      </w:r>
      <w:r w:rsidR="000F5954" w:rsidRPr="00F31B6B">
        <w:rPr>
          <w:rFonts w:ascii="Public Sans" w:eastAsia="Helvetica" w:hAnsi="Public Sans" w:cs="Segoe UI"/>
        </w:rPr>
        <w:t xml:space="preserve"> and</w:t>
      </w:r>
      <w:r w:rsidRPr="00F31B6B">
        <w:rPr>
          <w:rFonts w:ascii="Public Sans" w:eastAsia="Helvetica" w:hAnsi="Public Sans" w:cs="Segoe UI"/>
        </w:rPr>
        <w:t xml:space="preserve"> financial abuse. </w:t>
      </w:r>
      <w:r w:rsidR="00106B53" w:rsidRPr="00F31B6B">
        <w:rPr>
          <w:rFonts w:ascii="Public Sans" w:eastAsia="Helvetica" w:hAnsi="Public Sans" w:cs="Segoe UI"/>
        </w:rPr>
        <w:t>Th</w:t>
      </w:r>
      <w:r w:rsidR="00300201" w:rsidRPr="00F31B6B">
        <w:rPr>
          <w:rFonts w:ascii="Public Sans" w:eastAsia="Helvetica" w:hAnsi="Public Sans" w:cs="Segoe UI"/>
        </w:rPr>
        <w:t>is is consistent with previous years</w:t>
      </w:r>
      <w:r w:rsidR="00106B53" w:rsidRPr="00F31B6B">
        <w:rPr>
          <w:rFonts w:ascii="Public Sans" w:eastAsia="Helvetica" w:hAnsi="Public Sans" w:cs="Segoe UI"/>
        </w:rPr>
        <w:t xml:space="preserve">. </w:t>
      </w:r>
    </w:p>
    <w:p w14:paraId="59801D2B" w14:textId="77777777" w:rsidR="00910991" w:rsidRPr="00F31B6B" w:rsidRDefault="00910991" w:rsidP="00D70038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22EBE52C" w14:textId="4C231F77" w:rsidR="00910991" w:rsidRPr="00F31B6B" w:rsidRDefault="00910991" w:rsidP="00D70038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>In comparison to 202</w:t>
      </w:r>
      <w:r w:rsidR="008609CB" w:rsidRPr="00F31B6B">
        <w:rPr>
          <w:rFonts w:ascii="Public Sans" w:eastAsia="Helvetica" w:hAnsi="Public Sans" w:cs="Segoe UI"/>
        </w:rPr>
        <w:t>2</w:t>
      </w:r>
      <w:r w:rsidRPr="00F31B6B">
        <w:rPr>
          <w:rFonts w:ascii="Public Sans" w:eastAsia="Helvetica" w:hAnsi="Public Sans" w:cs="Segoe UI"/>
        </w:rPr>
        <w:t>-2</w:t>
      </w:r>
      <w:r w:rsidR="008609CB" w:rsidRPr="00F31B6B">
        <w:rPr>
          <w:rFonts w:ascii="Public Sans" w:eastAsia="Helvetica" w:hAnsi="Public Sans" w:cs="Segoe UI"/>
        </w:rPr>
        <w:t>3</w:t>
      </w:r>
      <w:r w:rsidRPr="00F31B6B">
        <w:rPr>
          <w:rFonts w:ascii="Public Sans" w:eastAsia="Helvetica" w:hAnsi="Public Sans" w:cs="Segoe UI"/>
        </w:rPr>
        <w:t xml:space="preserve">, a </w:t>
      </w:r>
      <w:r w:rsidR="00DA239C" w:rsidRPr="00F31B6B">
        <w:rPr>
          <w:rFonts w:ascii="Public Sans" w:eastAsia="Helvetica" w:hAnsi="Public Sans" w:cs="Segoe UI"/>
        </w:rPr>
        <w:t xml:space="preserve">slightly </w:t>
      </w:r>
      <w:r w:rsidRPr="00F31B6B">
        <w:rPr>
          <w:rFonts w:ascii="Public Sans" w:eastAsia="Helvetica" w:hAnsi="Public Sans" w:cs="Segoe UI"/>
        </w:rPr>
        <w:t xml:space="preserve">higher proportion of allegations related to </w:t>
      </w:r>
      <w:r w:rsidR="00DA239C" w:rsidRPr="00F31B6B">
        <w:rPr>
          <w:rFonts w:ascii="Public Sans" w:eastAsia="Helvetica" w:hAnsi="Public Sans" w:cs="Segoe UI"/>
        </w:rPr>
        <w:t>financial</w:t>
      </w:r>
      <w:r w:rsidRPr="00F31B6B">
        <w:rPr>
          <w:rFonts w:ascii="Public Sans" w:eastAsia="Helvetica" w:hAnsi="Public Sans" w:cs="Segoe UI"/>
        </w:rPr>
        <w:t xml:space="preserve"> abuse (previously </w:t>
      </w:r>
      <w:r w:rsidR="00DA239C" w:rsidRPr="00F31B6B">
        <w:rPr>
          <w:rFonts w:ascii="Public Sans" w:eastAsia="Helvetica" w:hAnsi="Public Sans" w:cs="Segoe UI"/>
        </w:rPr>
        <w:t>2</w:t>
      </w:r>
      <w:r w:rsidR="00197403" w:rsidRPr="00F31B6B">
        <w:rPr>
          <w:rFonts w:ascii="Public Sans" w:eastAsia="Helvetica" w:hAnsi="Public Sans" w:cs="Segoe UI"/>
        </w:rPr>
        <w:t>8</w:t>
      </w:r>
      <w:r w:rsidR="00DA239C" w:rsidRPr="00F31B6B">
        <w:rPr>
          <w:rFonts w:ascii="Public Sans" w:eastAsia="Helvetica" w:hAnsi="Public Sans" w:cs="Segoe UI"/>
        </w:rPr>
        <w:t>.</w:t>
      </w:r>
      <w:r w:rsidR="00197403" w:rsidRPr="00F31B6B">
        <w:rPr>
          <w:rFonts w:ascii="Public Sans" w:eastAsia="Helvetica" w:hAnsi="Public Sans" w:cs="Segoe UI"/>
        </w:rPr>
        <w:t>2</w:t>
      </w:r>
      <w:r w:rsidR="00DA239C" w:rsidRPr="00F31B6B">
        <w:rPr>
          <w:rFonts w:ascii="Public Sans" w:eastAsia="Helvetica" w:hAnsi="Public Sans" w:cs="Segoe UI"/>
        </w:rPr>
        <w:t>%</w:t>
      </w:r>
      <w:r w:rsidRPr="00F31B6B">
        <w:rPr>
          <w:rFonts w:ascii="Public Sans" w:eastAsia="Helvetica" w:hAnsi="Public Sans" w:cs="Segoe UI"/>
        </w:rPr>
        <w:t xml:space="preserve">). </w:t>
      </w:r>
    </w:p>
    <w:p w14:paraId="4EC387B3" w14:textId="77777777" w:rsidR="00EE1CDD" w:rsidRPr="00F31B6B" w:rsidRDefault="00EE1CDD" w:rsidP="00D70038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3E39B924" w14:textId="4D4CB3C8" w:rsidR="00491431" w:rsidRPr="00F31B6B" w:rsidRDefault="00B5592F" w:rsidP="00D70038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31B6B">
        <w:rPr>
          <w:rFonts w:ascii="Public Sans" w:eastAsia="Helvetica" w:hAnsi="Public Sans" w:cs="Segoe UI"/>
          <w:b/>
          <w:sz w:val="18"/>
        </w:rPr>
        <w:lastRenderedPageBreak/>
        <w:t>Figure 1</w:t>
      </w:r>
      <w:r w:rsidR="00912720">
        <w:rPr>
          <w:rFonts w:ascii="Public Sans" w:eastAsia="Helvetica" w:hAnsi="Public Sans" w:cs="Segoe UI"/>
          <w:b/>
          <w:sz w:val="18"/>
        </w:rPr>
        <w:t>3</w:t>
      </w:r>
      <w:r w:rsidR="006D21B9" w:rsidRPr="00F31B6B">
        <w:rPr>
          <w:rFonts w:ascii="Public Sans" w:eastAsia="Helvetica" w:hAnsi="Public Sans" w:cs="Segoe UI"/>
          <w:b/>
          <w:sz w:val="18"/>
        </w:rPr>
        <w:t xml:space="preserve">: </w:t>
      </w:r>
      <w:r w:rsidR="00B65D67" w:rsidRPr="00F31B6B">
        <w:rPr>
          <w:rFonts w:ascii="Public Sans" w:eastAsia="Helvetica" w:hAnsi="Public Sans" w:cs="Segoe UI"/>
          <w:b/>
          <w:sz w:val="18"/>
        </w:rPr>
        <w:t xml:space="preserve">Percentage of allegations </w:t>
      </w:r>
      <w:r w:rsidR="006D21B9" w:rsidRPr="00F31B6B">
        <w:rPr>
          <w:rFonts w:ascii="Public Sans" w:eastAsia="Helvetica" w:hAnsi="Public Sans" w:cs="Segoe UI"/>
          <w:b/>
          <w:sz w:val="18"/>
        </w:rPr>
        <w:t>by type of abuse, reports to the ADC about older people, 202</w:t>
      </w:r>
      <w:r w:rsidR="00C475C2" w:rsidRPr="00F31B6B">
        <w:rPr>
          <w:rFonts w:ascii="Public Sans" w:eastAsia="Helvetica" w:hAnsi="Public Sans" w:cs="Segoe UI"/>
          <w:b/>
          <w:sz w:val="18"/>
        </w:rPr>
        <w:t>3</w:t>
      </w:r>
      <w:r w:rsidR="006D21B9" w:rsidRPr="00F31B6B">
        <w:rPr>
          <w:rFonts w:ascii="Public Sans" w:eastAsia="Helvetica" w:hAnsi="Public Sans" w:cs="Segoe UI"/>
          <w:b/>
          <w:sz w:val="18"/>
        </w:rPr>
        <w:t>-2</w:t>
      </w:r>
      <w:r w:rsidR="00C475C2" w:rsidRPr="00F31B6B">
        <w:rPr>
          <w:rFonts w:ascii="Public Sans" w:eastAsia="Helvetica" w:hAnsi="Public Sans" w:cs="Segoe UI"/>
          <w:b/>
          <w:sz w:val="18"/>
        </w:rPr>
        <w:t>4</w:t>
      </w:r>
    </w:p>
    <w:p w14:paraId="47806F1F" w14:textId="09E2D975" w:rsidR="00491431" w:rsidRPr="00F31B6B" w:rsidRDefault="00C475C2" w:rsidP="00D70038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BC47A9">
        <w:rPr>
          <w:noProof/>
          <w:color w:val="auto"/>
        </w:rPr>
        <w:drawing>
          <wp:inline distT="0" distB="0" distL="0" distR="0" wp14:anchorId="5EBD2296" wp14:editId="5652DF91">
            <wp:extent cx="6195695" cy="3086100"/>
            <wp:effectExtent l="0" t="0" r="14605" b="0"/>
            <wp:docPr id="27" name="Chart 27">
              <a:extLst xmlns:a="http://schemas.openxmlformats.org/drawingml/2006/main">
                <a:ext uri="{FF2B5EF4-FFF2-40B4-BE49-F238E27FC236}">
                  <a16:creationId xmlns:a16="http://schemas.microsoft.com/office/drawing/2014/main" id="{68B57899-AB10-453C-A533-6E389E854E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533D852" w14:textId="77777777" w:rsidR="00801BB6" w:rsidRPr="00F31B6B" w:rsidRDefault="00801BB6" w:rsidP="007A4BC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50FE9662" w14:textId="77777777" w:rsidR="00B5592F" w:rsidRPr="00F31B6B" w:rsidRDefault="00B5592F" w:rsidP="007A4BC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51DC0A36" w14:textId="0EBDD782" w:rsidR="00584B4E" w:rsidRPr="00F31B6B" w:rsidRDefault="00584B4E" w:rsidP="007A4BC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31B6B">
        <w:rPr>
          <w:rFonts w:ascii="Public Sans" w:eastAsia="Helvetica" w:hAnsi="Public Sans" w:cs="Segoe UI"/>
          <w:b/>
          <w:sz w:val="18"/>
        </w:rPr>
        <w:t xml:space="preserve">Table </w:t>
      </w:r>
      <w:r w:rsidR="00CF7837" w:rsidRPr="00F31B6B">
        <w:rPr>
          <w:rFonts w:ascii="Public Sans" w:eastAsia="Helvetica" w:hAnsi="Public Sans" w:cs="Segoe UI"/>
          <w:b/>
          <w:sz w:val="18"/>
        </w:rPr>
        <w:t>5</w:t>
      </w:r>
      <w:r w:rsidR="00184644" w:rsidRPr="00F31B6B">
        <w:rPr>
          <w:rFonts w:ascii="Public Sans" w:eastAsia="Helvetica" w:hAnsi="Public Sans" w:cs="Segoe UI"/>
          <w:b/>
          <w:sz w:val="18"/>
        </w:rPr>
        <w:t xml:space="preserve">: </w:t>
      </w:r>
      <w:r w:rsidRPr="00F31B6B">
        <w:rPr>
          <w:rFonts w:ascii="Public Sans" w:eastAsia="Helvetica" w:hAnsi="Public Sans" w:cs="Segoe UI"/>
          <w:b/>
          <w:sz w:val="18"/>
        </w:rPr>
        <w:t xml:space="preserve">Type of alleged abuse </w:t>
      </w:r>
      <w:r w:rsidR="006652CB" w:rsidRPr="00F31B6B">
        <w:rPr>
          <w:rFonts w:ascii="Public Sans" w:eastAsia="Helvetica" w:hAnsi="Public Sans" w:cs="Segoe UI"/>
          <w:b/>
          <w:sz w:val="18"/>
        </w:rPr>
        <w:t>of</w:t>
      </w:r>
      <w:r w:rsidRPr="00F31B6B">
        <w:rPr>
          <w:rFonts w:ascii="Public Sans" w:eastAsia="Helvetica" w:hAnsi="Public Sans" w:cs="Segoe UI"/>
          <w:b/>
          <w:sz w:val="18"/>
        </w:rPr>
        <w:t xml:space="preserve"> the older person </w:t>
      </w:r>
      <w:r w:rsidR="0067473E" w:rsidRPr="00F31B6B">
        <w:rPr>
          <w:rFonts w:ascii="Public Sans" w:eastAsia="Helvetica" w:hAnsi="Public Sans" w:cs="Segoe UI"/>
          <w:b/>
          <w:sz w:val="18"/>
        </w:rPr>
        <w:t xml:space="preserve">in </w:t>
      </w:r>
      <w:r w:rsidRPr="00F31B6B">
        <w:rPr>
          <w:rFonts w:ascii="Public Sans" w:eastAsia="Helvetica" w:hAnsi="Public Sans" w:cs="Segoe UI"/>
          <w:b/>
          <w:sz w:val="18"/>
        </w:rPr>
        <w:t>reports</w:t>
      </w:r>
      <w:r w:rsidR="00184644" w:rsidRPr="00F31B6B">
        <w:rPr>
          <w:rFonts w:ascii="Public Sans" w:eastAsia="Helvetica" w:hAnsi="Public Sans" w:cs="Segoe UI"/>
          <w:b/>
          <w:sz w:val="18"/>
        </w:rPr>
        <w:t xml:space="preserve"> to the ADC</w:t>
      </w:r>
      <w:r w:rsidRPr="00F31B6B">
        <w:rPr>
          <w:rFonts w:ascii="Public Sans" w:eastAsia="Helvetica" w:hAnsi="Public Sans" w:cs="Segoe UI"/>
          <w:b/>
          <w:sz w:val="18"/>
        </w:rPr>
        <w:t xml:space="preserve">, </w:t>
      </w:r>
      <w:r w:rsidR="00491431" w:rsidRPr="00F31B6B">
        <w:rPr>
          <w:rFonts w:ascii="Public Sans" w:eastAsia="Helvetica" w:hAnsi="Public Sans" w:cs="Segoe UI"/>
          <w:b/>
          <w:sz w:val="18"/>
        </w:rPr>
        <w:t>202</w:t>
      </w:r>
      <w:r w:rsidR="00CD2420" w:rsidRPr="00F31B6B">
        <w:rPr>
          <w:rFonts w:ascii="Public Sans" w:eastAsia="Helvetica" w:hAnsi="Public Sans" w:cs="Segoe UI"/>
          <w:b/>
          <w:sz w:val="18"/>
        </w:rPr>
        <w:t>3</w:t>
      </w:r>
      <w:r w:rsidR="00491431" w:rsidRPr="00F31B6B">
        <w:rPr>
          <w:rFonts w:ascii="Public Sans" w:eastAsia="Helvetica" w:hAnsi="Public Sans" w:cs="Segoe UI"/>
          <w:b/>
          <w:sz w:val="18"/>
        </w:rPr>
        <w:t>-</w:t>
      </w:r>
      <w:r w:rsidR="001402AD" w:rsidRPr="00F31B6B">
        <w:rPr>
          <w:rFonts w:ascii="Public Sans" w:eastAsia="Helvetica" w:hAnsi="Public Sans" w:cs="Segoe UI"/>
          <w:b/>
          <w:sz w:val="18"/>
        </w:rPr>
        <w:t>2</w:t>
      </w:r>
      <w:r w:rsidR="00CD2420" w:rsidRPr="00F31B6B">
        <w:rPr>
          <w:rFonts w:ascii="Public Sans" w:eastAsia="Helvetica" w:hAnsi="Public Sans" w:cs="Segoe UI"/>
          <w:b/>
          <w:sz w:val="18"/>
        </w:rPr>
        <w:t>4</w:t>
      </w:r>
      <w:r w:rsidRPr="00F31B6B">
        <w:rPr>
          <w:rStyle w:val="FootnoteReference"/>
          <w:rFonts w:ascii="Public Sans" w:eastAsia="Helvetica" w:hAnsi="Public Sans" w:cs="Segoe UI"/>
          <w:b/>
          <w:sz w:val="18"/>
        </w:rPr>
        <w:footnoteReference w:id="4"/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6779"/>
        <w:gridCol w:w="1358"/>
        <w:gridCol w:w="1356"/>
      </w:tblGrid>
      <w:tr w:rsidR="00D657A6" w:rsidRPr="00BC47A9" w14:paraId="20D6166F" w14:textId="77777777" w:rsidTr="00D657A6">
        <w:trPr>
          <w:trHeight w:val="315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644C276A" w14:textId="77777777" w:rsidR="00DB1022" w:rsidRPr="00BC47A9" w:rsidRDefault="00DB1022" w:rsidP="00DB102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Type of alleged abuse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5890F129" w14:textId="77777777" w:rsidR="00DB1022" w:rsidRPr="00BC47A9" w:rsidRDefault="00DB1022" w:rsidP="00DB1022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Number of allegations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4B80A210" w14:textId="77777777" w:rsidR="00DB1022" w:rsidRPr="00BC47A9" w:rsidRDefault="00DB1022" w:rsidP="00DB1022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% of all allegations</w:t>
            </w:r>
          </w:p>
        </w:tc>
      </w:tr>
      <w:tr w:rsidR="00DB1022" w:rsidRPr="00BC47A9" w14:paraId="46CA3525" w14:textId="77777777" w:rsidTr="00D657A6">
        <w:trPr>
          <w:trHeight w:val="1074"/>
        </w:trPr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8BCDA" w14:textId="77777777" w:rsidR="00DB1022" w:rsidRPr="00BC47A9" w:rsidRDefault="00DB1022" w:rsidP="00157384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Psychological abuse</w:t>
            </w:r>
          </w:p>
          <w:p w14:paraId="55CCF6D5" w14:textId="77777777" w:rsidR="00FD5C1F" w:rsidRPr="00BC47A9" w:rsidRDefault="00FD5C1F" w:rsidP="00157384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</w:p>
          <w:p w14:paraId="2BBD1BA2" w14:textId="1AE1E5ED" w:rsidR="00FD5C1F" w:rsidRPr="00BC47A9" w:rsidRDefault="00FD5C1F" w:rsidP="00157384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(Mainly </w:t>
            </w:r>
            <w:r w:rsidR="004553CB"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v</w:t>
            </w: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erbal abuse; </w:t>
            </w:r>
            <w:r w:rsidR="004553CB"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m</w:t>
            </w: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aking excessive or degrading demands; and </w:t>
            </w:r>
            <w:r w:rsidR="004553CB"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p</w:t>
            </w: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reventing/restricting access to supports/services)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9F2EA" w14:textId="2AE352ED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2,304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C56A" w14:textId="77777777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37.3%</w:t>
            </w:r>
          </w:p>
        </w:tc>
      </w:tr>
      <w:tr w:rsidR="00DB1022" w:rsidRPr="00BC47A9" w14:paraId="234C872D" w14:textId="77777777" w:rsidTr="007600CE">
        <w:trPr>
          <w:trHeight w:val="935"/>
        </w:trPr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04CA" w14:textId="77777777" w:rsidR="00DB1022" w:rsidRPr="00BC47A9" w:rsidRDefault="00DB1022" w:rsidP="00157384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Financial abuse</w:t>
            </w:r>
          </w:p>
          <w:p w14:paraId="013C48E8" w14:textId="77777777" w:rsidR="00157384" w:rsidRPr="00BC47A9" w:rsidRDefault="00157384" w:rsidP="00157384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</w:p>
          <w:p w14:paraId="5665AAC6" w14:textId="6A0623CA" w:rsidR="00157384" w:rsidRPr="00BC47A9" w:rsidRDefault="00157384" w:rsidP="00157384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(Mainly </w:t>
            </w:r>
            <w:r w:rsidR="004553CB"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f</w:t>
            </w: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inancial exploitation; </w:t>
            </w:r>
            <w:r w:rsidR="004553CB"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m</w:t>
            </w: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isuse of POA or EPOA; and </w:t>
            </w:r>
            <w:r w:rsidR="004553CB"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t</w:t>
            </w: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heft)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6212" w14:textId="6DF11580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1,934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14D9" w14:textId="77777777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31.3%</w:t>
            </w:r>
          </w:p>
        </w:tc>
      </w:tr>
      <w:tr w:rsidR="00DB1022" w:rsidRPr="00BC47A9" w14:paraId="124390B4" w14:textId="77777777" w:rsidTr="007600CE">
        <w:trPr>
          <w:trHeight w:val="979"/>
        </w:trPr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3BB3" w14:textId="77777777" w:rsidR="00DB1022" w:rsidRPr="00BC47A9" w:rsidRDefault="00DB1022" w:rsidP="00157384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Neglect</w:t>
            </w:r>
          </w:p>
          <w:p w14:paraId="07B95864" w14:textId="77777777" w:rsidR="00157384" w:rsidRPr="00BC47A9" w:rsidRDefault="00157384" w:rsidP="00157384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  <w:p w14:paraId="49EA819E" w14:textId="6C62A295" w:rsidR="00157384" w:rsidRPr="00BC47A9" w:rsidRDefault="00157384" w:rsidP="00157384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(Mainly </w:t>
            </w:r>
            <w:r w:rsidR="004553CB"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f</w:t>
            </w: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ailure to meet support needs; and </w:t>
            </w:r>
            <w:r w:rsidR="004553CB"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m</w:t>
            </w: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edical care)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740C" w14:textId="54D2D3AC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1,428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CE8B" w14:textId="77777777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23.1%</w:t>
            </w:r>
          </w:p>
        </w:tc>
      </w:tr>
      <w:tr w:rsidR="00DB1022" w:rsidRPr="00BC47A9" w14:paraId="3F1CC2CC" w14:textId="77777777" w:rsidTr="00D657A6">
        <w:trPr>
          <w:trHeight w:val="1074"/>
        </w:trPr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305F" w14:textId="77777777" w:rsidR="00DB1022" w:rsidRPr="00BC47A9" w:rsidRDefault="00DB1022" w:rsidP="00157384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Physical abuse</w:t>
            </w:r>
          </w:p>
          <w:p w14:paraId="3A69D732" w14:textId="77777777" w:rsidR="00157384" w:rsidRPr="00BC47A9" w:rsidRDefault="00157384" w:rsidP="00157384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</w:p>
          <w:p w14:paraId="4512F393" w14:textId="7CD17773" w:rsidR="00157384" w:rsidRPr="00BC47A9" w:rsidRDefault="00157384" w:rsidP="00157384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(Mainly threat of harm; and </w:t>
            </w:r>
            <w:r w:rsidR="004553CB"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h</w:t>
            </w: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itting/kicking/punching)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325C" w14:textId="77777777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423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B2BD" w14:textId="77777777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6.8%</w:t>
            </w:r>
          </w:p>
        </w:tc>
      </w:tr>
      <w:tr w:rsidR="00DB1022" w:rsidRPr="00BC47A9" w14:paraId="7673D966" w14:textId="77777777" w:rsidTr="007600CE">
        <w:trPr>
          <w:trHeight w:val="514"/>
        </w:trPr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D730" w14:textId="77777777" w:rsidR="00DB1022" w:rsidRPr="00BC47A9" w:rsidRDefault="00DB1022" w:rsidP="00157384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Other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266C" w14:textId="77777777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0335" w14:textId="77777777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1.0%</w:t>
            </w:r>
          </w:p>
        </w:tc>
      </w:tr>
      <w:tr w:rsidR="00DB1022" w:rsidRPr="00BC47A9" w14:paraId="5F92C945" w14:textId="77777777" w:rsidTr="007600CE">
        <w:trPr>
          <w:trHeight w:val="930"/>
        </w:trPr>
        <w:tc>
          <w:tcPr>
            <w:tcW w:w="6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B66E" w14:textId="77777777" w:rsidR="00DB1022" w:rsidRPr="00BC47A9" w:rsidRDefault="00DB1022" w:rsidP="00157384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Sexual abuse</w:t>
            </w:r>
          </w:p>
          <w:p w14:paraId="078265BA" w14:textId="77777777" w:rsidR="00157384" w:rsidRPr="00BC47A9" w:rsidRDefault="00157384" w:rsidP="00157384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</w:p>
          <w:p w14:paraId="55681364" w14:textId="3CC320BD" w:rsidR="00157384" w:rsidRPr="00BC47A9" w:rsidRDefault="00157384" w:rsidP="00157384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(Mainly sexual touching)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CE8E" w14:textId="77777777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CE4A" w14:textId="77777777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0.5%</w:t>
            </w:r>
          </w:p>
        </w:tc>
      </w:tr>
      <w:tr w:rsidR="00DB1022" w:rsidRPr="00BC47A9" w14:paraId="22199548" w14:textId="77777777" w:rsidTr="00D657A6">
        <w:trPr>
          <w:trHeight w:val="478"/>
        </w:trPr>
        <w:tc>
          <w:tcPr>
            <w:tcW w:w="677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347C" w14:textId="77777777" w:rsidR="00DB1022" w:rsidRPr="00BC47A9" w:rsidRDefault="00DB1022" w:rsidP="00157384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Total allegations in reports about older people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3969" w14:textId="38EA0240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6,181</w:t>
            </w:r>
          </w:p>
        </w:tc>
        <w:tc>
          <w:tcPr>
            <w:tcW w:w="13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4C1C" w14:textId="77777777" w:rsidR="00DB1022" w:rsidRPr="00BC47A9" w:rsidRDefault="00DB1022" w:rsidP="00157384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BC47A9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100%</w:t>
            </w:r>
          </w:p>
        </w:tc>
      </w:tr>
    </w:tbl>
    <w:p w14:paraId="33C464D0" w14:textId="77777777" w:rsidR="00FF481B" w:rsidRPr="00F31B6B" w:rsidRDefault="00FF481B" w:rsidP="007A4BC6">
      <w:pPr>
        <w:spacing w:after="0" w:line="240" w:lineRule="auto"/>
        <w:rPr>
          <w:rFonts w:ascii="Public Sans" w:hAnsi="Public Sans" w:cs="Segoe UI"/>
        </w:rPr>
      </w:pPr>
    </w:p>
    <w:p w14:paraId="42B34C85" w14:textId="5E500D7B" w:rsidR="00D227D0" w:rsidRPr="00F31B6B" w:rsidRDefault="00D227D0" w:rsidP="007A4BC6">
      <w:pPr>
        <w:spacing w:after="0" w:line="240" w:lineRule="auto"/>
        <w:rPr>
          <w:rFonts w:ascii="Public Sans" w:hAnsi="Public Sans" w:cs="Segoe UI"/>
        </w:rPr>
      </w:pPr>
      <w:r w:rsidRPr="00F31B6B">
        <w:rPr>
          <w:rFonts w:ascii="Public Sans" w:hAnsi="Public Sans" w:cs="Segoe UI"/>
        </w:rPr>
        <w:t>The most common</w:t>
      </w:r>
      <w:r w:rsidR="002279EB" w:rsidRPr="00F31B6B">
        <w:rPr>
          <w:rFonts w:ascii="Public Sans" w:hAnsi="Public Sans" w:cs="Segoe UI"/>
        </w:rPr>
        <w:t xml:space="preserve"> </w:t>
      </w:r>
      <w:r w:rsidRPr="00F31B6B">
        <w:rPr>
          <w:rFonts w:ascii="Public Sans" w:hAnsi="Public Sans" w:cs="Segoe UI"/>
        </w:rPr>
        <w:t xml:space="preserve">allegations </w:t>
      </w:r>
      <w:r w:rsidR="002279EB" w:rsidRPr="00F31B6B">
        <w:rPr>
          <w:rFonts w:ascii="Public Sans" w:hAnsi="Public Sans" w:cs="Segoe UI"/>
        </w:rPr>
        <w:t xml:space="preserve">reported </w:t>
      </w:r>
      <w:r w:rsidRPr="00F31B6B">
        <w:rPr>
          <w:rFonts w:ascii="Public Sans" w:hAnsi="Public Sans" w:cs="Segoe UI"/>
        </w:rPr>
        <w:t xml:space="preserve">in relation to older people related them </w:t>
      </w:r>
      <w:r w:rsidR="00395F06" w:rsidRPr="00F31B6B">
        <w:rPr>
          <w:rFonts w:ascii="Public Sans" w:hAnsi="Public Sans" w:cs="Segoe UI"/>
        </w:rPr>
        <w:t xml:space="preserve">being financially exploited; </w:t>
      </w:r>
      <w:r w:rsidRPr="00F31B6B">
        <w:rPr>
          <w:rFonts w:ascii="Public Sans" w:hAnsi="Public Sans" w:cs="Segoe UI"/>
        </w:rPr>
        <w:t>being verbal</w:t>
      </w:r>
      <w:r w:rsidR="00E51B63" w:rsidRPr="00F31B6B">
        <w:rPr>
          <w:rFonts w:ascii="Public Sans" w:hAnsi="Public Sans" w:cs="Segoe UI"/>
        </w:rPr>
        <w:t>ly</w:t>
      </w:r>
      <w:r w:rsidRPr="00F31B6B">
        <w:rPr>
          <w:rFonts w:ascii="Public Sans" w:hAnsi="Public Sans" w:cs="Segoe UI"/>
        </w:rPr>
        <w:t xml:space="preserve"> abuse</w:t>
      </w:r>
      <w:r w:rsidR="00E51B63" w:rsidRPr="00F31B6B">
        <w:rPr>
          <w:rFonts w:ascii="Public Sans" w:hAnsi="Public Sans" w:cs="Segoe UI"/>
        </w:rPr>
        <w:t>d</w:t>
      </w:r>
      <w:r w:rsidRPr="00F31B6B">
        <w:rPr>
          <w:rFonts w:ascii="Public Sans" w:hAnsi="Public Sans" w:cs="Segoe UI"/>
        </w:rPr>
        <w:t>;</w:t>
      </w:r>
      <w:r w:rsidR="00BE0788" w:rsidRPr="00F31B6B">
        <w:rPr>
          <w:rFonts w:ascii="Public Sans" w:hAnsi="Public Sans" w:cs="Segoe UI"/>
        </w:rPr>
        <w:t xml:space="preserve"> </w:t>
      </w:r>
      <w:r w:rsidR="00D915DF" w:rsidRPr="00F31B6B">
        <w:rPr>
          <w:rFonts w:ascii="Public Sans" w:hAnsi="Public Sans" w:cs="Segoe UI"/>
        </w:rPr>
        <w:t>not having their support needs met;</w:t>
      </w:r>
      <w:r w:rsidRPr="00F31B6B">
        <w:rPr>
          <w:rFonts w:ascii="Public Sans" w:hAnsi="Public Sans" w:cs="Segoe UI"/>
        </w:rPr>
        <w:t xml:space="preserve"> </w:t>
      </w:r>
      <w:r w:rsidR="002279EB" w:rsidRPr="00F31B6B">
        <w:rPr>
          <w:rFonts w:ascii="Public Sans" w:hAnsi="Public Sans" w:cs="Segoe UI"/>
        </w:rPr>
        <w:t>and</w:t>
      </w:r>
      <w:r w:rsidR="00F6632E" w:rsidRPr="00F31B6B">
        <w:rPr>
          <w:rFonts w:ascii="Public Sans" w:hAnsi="Public Sans" w:cs="Segoe UI"/>
        </w:rPr>
        <w:t xml:space="preserve"> </w:t>
      </w:r>
      <w:r w:rsidR="00BC3D36" w:rsidRPr="00F31B6B">
        <w:rPr>
          <w:rFonts w:ascii="Public Sans" w:hAnsi="Public Sans" w:cs="Segoe UI"/>
        </w:rPr>
        <w:t>being subject</w:t>
      </w:r>
      <w:r w:rsidR="006565CF" w:rsidRPr="00F31B6B">
        <w:rPr>
          <w:rFonts w:ascii="Public Sans" w:hAnsi="Public Sans" w:cs="Segoe UI"/>
        </w:rPr>
        <w:t>ed to excessive or degrading demands</w:t>
      </w:r>
      <w:r w:rsidR="00D915DF" w:rsidRPr="00F31B6B">
        <w:rPr>
          <w:rFonts w:ascii="Public Sans" w:hAnsi="Public Sans" w:cs="Segoe UI"/>
        </w:rPr>
        <w:t xml:space="preserve">. </w:t>
      </w:r>
    </w:p>
    <w:p w14:paraId="45C7A19E" w14:textId="77777777" w:rsidR="0006721C" w:rsidRPr="00F31B6B" w:rsidRDefault="0006721C" w:rsidP="007A4BC6">
      <w:pPr>
        <w:spacing w:after="0" w:line="240" w:lineRule="auto"/>
        <w:rPr>
          <w:rFonts w:ascii="Public Sans" w:hAnsi="Public Sans" w:cs="Segoe UI"/>
        </w:rPr>
      </w:pPr>
    </w:p>
    <w:p w14:paraId="168FFE3F" w14:textId="02E58A99" w:rsidR="00EC7E06" w:rsidRPr="00F31B6B" w:rsidRDefault="00EC7E06" w:rsidP="00EC7E0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31B6B">
        <w:rPr>
          <w:rFonts w:ascii="Public Sans" w:eastAsia="Helvetica" w:hAnsi="Public Sans" w:cs="Segoe UI"/>
          <w:b/>
          <w:sz w:val="18"/>
        </w:rPr>
        <w:t xml:space="preserve">Table </w:t>
      </w:r>
      <w:r w:rsidR="00CF7837" w:rsidRPr="00F31B6B">
        <w:rPr>
          <w:rFonts w:ascii="Public Sans" w:eastAsia="Helvetica" w:hAnsi="Public Sans" w:cs="Segoe UI"/>
          <w:b/>
          <w:sz w:val="18"/>
        </w:rPr>
        <w:t>6</w:t>
      </w:r>
      <w:r w:rsidRPr="00F31B6B">
        <w:rPr>
          <w:rFonts w:ascii="Public Sans" w:eastAsia="Helvetica" w:hAnsi="Public Sans" w:cs="Segoe UI"/>
          <w:b/>
          <w:sz w:val="18"/>
        </w:rPr>
        <w:t xml:space="preserve">: </w:t>
      </w:r>
      <w:r w:rsidR="002279EB" w:rsidRPr="00F31B6B">
        <w:rPr>
          <w:rFonts w:ascii="Public Sans" w:eastAsia="Helvetica" w:hAnsi="Public Sans" w:cs="Segoe UI"/>
          <w:b/>
          <w:sz w:val="18"/>
        </w:rPr>
        <w:t>L</w:t>
      </w:r>
      <w:r w:rsidRPr="00F31B6B">
        <w:rPr>
          <w:rFonts w:ascii="Public Sans" w:eastAsia="Helvetica" w:hAnsi="Public Sans" w:cs="Segoe UI"/>
          <w:b/>
          <w:sz w:val="18"/>
        </w:rPr>
        <w:t xml:space="preserve">eading reported allegations in relation to older people, </w:t>
      </w:r>
      <w:r w:rsidR="00DC27E5" w:rsidRPr="00F31B6B">
        <w:rPr>
          <w:rFonts w:ascii="Public Sans" w:eastAsia="Helvetica" w:hAnsi="Public Sans" w:cs="Segoe UI"/>
          <w:b/>
          <w:sz w:val="18"/>
        </w:rPr>
        <w:t>202</w:t>
      </w:r>
      <w:r w:rsidR="004265AF" w:rsidRPr="00F31B6B">
        <w:rPr>
          <w:rFonts w:ascii="Public Sans" w:eastAsia="Helvetica" w:hAnsi="Public Sans" w:cs="Segoe UI"/>
          <w:b/>
          <w:sz w:val="18"/>
        </w:rPr>
        <w:t>3</w:t>
      </w:r>
      <w:r w:rsidR="00DC27E5" w:rsidRPr="00F31B6B">
        <w:rPr>
          <w:rFonts w:ascii="Public Sans" w:eastAsia="Helvetica" w:hAnsi="Public Sans" w:cs="Segoe UI"/>
          <w:b/>
          <w:sz w:val="18"/>
        </w:rPr>
        <w:t>-</w:t>
      </w:r>
      <w:r w:rsidRPr="00F31B6B">
        <w:rPr>
          <w:rFonts w:ascii="Public Sans" w:eastAsia="Helvetica" w:hAnsi="Public Sans" w:cs="Segoe UI"/>
          <w:b/>
          <w:sz w:val="18"/>
        </w:rPr>
        <w:t>2</w:t>
      </w:r>
      <w:r w:rsidR="004265AF" w:rsidRPr="00F31B6B">
        <w:rPr>
          <w:rFonts w:ascii="Public Sans" w:eastAsia="Helvetica" w:hAnsi="Public Sans" w:cs="Segoe UI"/>
          <w:b/>
          <w:sz w:val="18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"/>
        <w:gridCol w:w="7001"/>
        <w:gridCol w:w="1824"/>
      </w:tblGrid>
      <w:tr w:rsidR="00061B9B" w:rsidRPr="00061B9B" w14:paraId="3F42B555" w14:textId="77777777" w:rsidTr="00061B9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721D8B00" w14:textId="77777777" w:rsidR="00061B9B" w:rsidRPr="00061B9B" w:rsidRDefault="00061B9B" w:rsidP="00061B9B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726A7682" w14:textId="77777777" w:rsidR="00061B9B" w:rsidRPr="00061B9B" w:rsidRDefault="00061B9B" w:rsidP="00061B9B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Reported allegation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79514EA3" w14:textId="77777777" w:rsidR="00061B9B" w:rsidRPr="00061B9B" w:rsidRDefault="00061B9B" w:rsidP="00061B9B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Number of cases</w:t>
            </w:r>
          </w:p>
        </w:tc>
      </w:tr>
      <w:tr w:rsidR="00061B9B" w:rsidRPr="00061B9B" w14:paraId="7289CCA0" w14:textId="77777777" w:rsidTr="00061B9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49ED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1750" w14:textId="77777777" w:rsidR="00061B9B" w:rsidRPr="00061B9B" w:rsidRDefault="00061B9B" w:rsidP="00061B9B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Financial exploitation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289C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1050</w:t>
            </w:r>
          </w:p>
        </w:tc>
      </w:tr>
      <w:tr w:rsidR="00061B9B" w:rsidRPr="00061B9B" w14:paraId="5706CD5A" w14:textId="77777777" w:rsidTr="00061B9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FBCE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D40B" w14:textId="77777777" w:rsidR="00061B9B" w:rsidRPr="00061B9B" w:rsidRDefault="00061B9B" w:rsidP="00061B9B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Psychological abuse - Verbal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8B67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759</w:t>
            </w:r>
          </w:p>
        </w:tc>
      </w:tr>
      <w:tr w:rsidR="00061B9B" w:rsidRPr="00061B9B" w14:paraId="03698FAD" w14:textId="77777777" w:rsidTr="00061B9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D4DB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A343" w14:textId="77777777" w:rsidR="00061B9B" w:rsidRPr="00061B9B" w:rsidRDefault="00061B9B" w:rsidP="00061B9B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Neglect - Failure to meet support needs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02AD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609</w:t>
            </w:r>
          </w:p>
        </w:tc>
      </w:tr>
      <w:tr w:rsidR="00061B9B" w:rsidRPr="00061B9B" w14:paraId="77E5702F" w14:textId="77777777" w:rsidTr="00061B9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97C0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4133" w14:textId="77777777" w:rsidR="00061B9B" w:rsidRPr="00061B9B" w:rsidRDefault="00061B9B" w:rsidP="00061B9B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Psychological abuse - Making excessive or degrading demands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E797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431</w:t>
            </w:r>
          </w:p>
        </w:tc>
      </w:tr>
      <w:tr w:rsidR="00061B9B" w:rsidRPr="00061B9B" w14:paraId="108752D2" w14:textId="77777777" w:rsidTr="00061B9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B43C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30B3" w14:textId="77777777" w:rsidR="00061B9B" w:rsidRPr="00061B9B" w:rsidRDefault="00061B9B" w:rsidP="00061B9B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Psychological abuse - Preventing/restricting access to family/others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00C5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425</w:t>
            </w:r>
          </w:p>
        </w:tc>
      </w:tr>
      <w:tr w:rsidR="00061B9B" w:rsidRPr="00061B9B" w14:paraId="57F0CBBC" w14:textId="77777777" w:rsidTr="00061B9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0BAF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FC0D" w14:textId="77777777" w:rsidR="00061B9B" w:rsidRPr="00061B9B" w:rsidRDefault="00061B9B" w:rsidP="00061B9B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Financial abuse - Misuse of POA or EPOA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34C8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330</w:t>
            </w:r>
          </w:p>
        </w:tc>
      </w:tr>
      <w:tr w:rsidR="00061B9B" w:rsidRPr="00061B9B" w14:paraId="556B0E98" w14:textId="77777777" w:rsidTr="00061B9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E32F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4D87" w14:textId="77777777" w:rsidR="00061B9B" w:rsidRPr="00061B9B" w:rsidRDefault="00061B9B" w:rsidP="00061B9B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Psychological abuse - Preventing/restricting access to supports/services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0A83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289</w:t>
            </w:r>
          </w:p>
        </w:tc>
      </w:tr>
      <w:tr w:rsidR="00061B9B" w:rsidRPr="00061B9B" w14:paraId="09F80472" w14:textId="77777777" w:rsidTr="00061B9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B03E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F7E4" w14:textId="77777777" w:rsidR="00061B9B" w:rsidRPr="00061B9B" w:rsidRDefault="00061B9B" w:rsidP="00061B9B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Psychological abuse - Other psychological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B69B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262</w:t>
            </w:r>
          </w:p>
        </w:tc>
      </w:tr>
      <w:tr w:rsidR="00061B9B" w:rsidRPr="00061B9B" w14:paraId="3CA15AA2" w14:textId="77777777" w:rsidTr="00061B9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3C5E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A968" w14:textId="77777777" w:rsidR="00061B9B" w:rsidRPr="00061B9B" w:rsidRDefault="00061B9B" w:rsidP="00061B9B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Neglect - Medical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CAA8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250</w:t>
            </w:r>
          </w:p>
        </w:tc>
      </w:tr>
      <w:tr w:rsidR="00061B9B" w:rsidRPr="00061B9B" w14:paraId="194CCDA6" w14:textId="77777777" w:rsidTr="00061B9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DD42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EFBC" w14:textId="4AD4A281" w:rsidR="00061B9B" w:rsidRPr="00061B9B" w:rsidRDefault="00061B9B" w:rsidP="00061B9B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 xml:space="preserve">Financial abuse - Theft (taking </w:t>
            </w:r>
            <w:r w:rsidR="007600C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</w:t>
            </w: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erson’s money)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F96F" w14:textId="77777777" w:rsidR="00061B9B" w:rsidRPr="00061B9B" w:rsidRDefault="00061B9B" w:rsidP="00061B9B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061B9B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248</w:t>
            </w:r>
          </w:p>
        </w:tc>
      </w:tr>
    </w:tbl>
    <w:p w14:paraId="3C0E92A8" w14:textId="77777777" w:rsidR="00DB0E60" w:rsidRPr="00F31B6B" w:rsidRDefault="00DB0E60" w:rsidP="00FA1892">
      <w:pPr>
        <w:spacing w:before="120" w:after="0" w:line="240" w:lineRule="auto"/>
        <w:rPr>
          <w:rFonts w:ascii="Public Sans" w:eastAsia="Helvetica" w:hAnsi="Public Sans"/>
        </w:rPr>
      </w:pPr>
    </w:p>
    <w:p w14:paraId="71234EF4" w14:textId="77777777" w:rsidR="00936332" w:rsidRPr="00F31B6B" w:rsidRDefault="00936332" w:rsidP="00936332">
      <w:pPr>
        <w:pStyle w:val="Heading2"/>
        <w:spacing w:before="0"/>
        <w:rPr>
          <w:rFonts w:ascii="Public Sans" w:eastAsia="Helvetica" w:hAnsi="Public Sans"/>
          <w:b/>
        </w:rPr>
      </w:pPr>
      <w:r w:rsidRPr="00F31B6B">
        <w:rPr>
          <w:rFonts w:ascii="Public Sans" w:eastAsia="Helvetica" w:hAnsi="Public Sans"/>
          <w:b/>
        </w:rPr>
        <w:t>Adults with disability</w:t>
      </w:r>
    </w:p>
    <w:p w14:paraId="7298D1EF" w14:textId="13D76265" w:rsidR="00AF67C1" w:rsidRPr="00F31B6B" w:rsidRDefault="0045359B" w:rsidP="0045359B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 xml:space="preserve">The </w:t>
      </w:r>
      <w:proofErr w:type="gramStart"/>
      <w:r w:rsidRPr="00F31B6B">
        <w:rPr>
          <w:rFonts w:ascii="Public Sans" w:eastAsia="Helvetica" w:hAnsi="Public Sans" w:cs="Segoe UI"/>
        </w:rPr>
        <w:t>most commonly reported</w:t>
      </w:r>
      <w:proofErr w:type="gramEnd"/>
      <w:r w:rsidRPr="00F31B6B">
        <w:rPr>
          <w:rFonts w:ascii="Public Sans" w:eastAsia="Helvetica" w:hAnsi="Public Sans" w:cs="Segoe UI"/>
        </w:rPr>
        <w:t xml:space="preserve"> types of alleged abuse in relation to adults with disability in </w:t>
      </w:r>
      <w:r w:rsidR="00106B53" w:rsidRPr="00F31B6B">
        <w:rPr>
          <w:rFonts w:ascii="Public Sans" w:eastAsia="Helvetica" w:hAnsi="Public Sans" w:cs="Segoe UI"/>
        </w:rPr>
        <w:t>202</w:t>
      </w:r>
      <w:r w:rsidR="001A0B8C" w:rsidRPr="00F31B6B">
        <w:rPr>
          <w:rFonts w:ascii="Public Sans" w:eastAsia="Helvetica" w:hAnsi="Public Sans" w:cs="Segoe UI"/>
        </w:rPr>
        <w:t>3</w:t>
      </w:r>
      <w:r w:rsidR="00106B53" w:rsidRPr="00F31B6B">
        <w:rPr>
          <w:rFonts w:ascii="Public Sans" w:eastAsia="Helvetica" w:hAnsi="Public Sans" w:cs="Segoe UI"/>
        </w:rPr>
        <w:t>-2</w:t>
      </w:r>
      <w:r w:rsidR="001A0B8C" w:rsidRPr="00F31B6B">
        <w:rPr>
          <w:rFonts w:ascii="Public Sans" w:eastAsia="Helvetica" w:hAnsi="Public Sans" w:cs="Segoe UI"/>
        </w:rPr>
        <w:t>4</w:t>
      </w:r>
      <w:r w:rsidRPr="00F31B6B">
        <w:rPr>
          <w:rFonts w:ascii="Public Sans" w:eastAsia="Helvetica" w:hAnsi="Public Sans" w:cs="Segoe UI"/>
        </w:rPr>
        <w:t xml:space="preserve"> were psychological abuse, followed by neglect and </w:t>
      </w:r>
      <w:r w:rsidR="00910991" w:rsidRPr="00F31B6B">
        <w:rPr>
          <w:rFonts w:ascii="Public Sans" w:eastAsia="Helvetica" w:hAnsi="Public Sans" w:cs="Segoe UI"/>
        </w:rPr>
        <w:t>financial</w:t>
      </w:r>
      <w:r w:rsidRPr="00F31B6B">
        <w:rPr>
          <w:rFonts w:ascii="Public Sans" w:eastAsia="Helvetica" w:hAnsi="Public Sans" w:cs="Segoe UI"/>
        </w:rPr>
        <w:t xml:space="preserve"> abuse.</w:t>
      </w:r>
    </w:p>
    <w:p w14:paraId="6BBAC238" w14:textId="77777777" w:rsidR="00AF67C1" w:rsidRPr="00F31B6B" w:rsidRDefault="00AF67C1" w:rsidP="00AF67C1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</w:p>
    <w:p w14:paraId="76B9DD0B" w14:textId="7A93CA75" w:rsidR="0045359B" w:rsidRPr="00F31B6B" w:rsidRDefault="00F97CC0" w:rsidP="00AF67C1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</w:rPr>
        <w:t>In comparison with</w:t>
      </w:r>
      <w:r w:rsidR="00910991" w:rsidRPr="00F31B6B">
        <w:rPr>
          <w:rFonts w:ascii="Public Sans" w:eastAsia="Helvetica" w:hAnsi="Public Sans" w:cs="Segoe UI"/>
        </w:rPr>
        <w:t xml:space="preserve"> 202</w:t>
      </w:r>
      <w:r w:rsidR="00683AB7" w:rsidRPr="00F31B6B">
        <w:rPr>
          <w:rFonts w:ascii="Public Sans" w:eastAsia="Helvetica" w:hAnsi="Public Sans" w:cs="Segoe UI"/>
        </w:rPr>
        <w:t>2</w:t>
      </w:r>
      <w:r w:rsidR="00910991" w:rsidRPr="00F31B6B">
        <w:rPr>
          <w:rFonts w:ascii="Public Sans" w:eastAsia="Helvetica" w:hAnsi="Public Sans" w:cs="Segoe UI"/>
        </w:rPr>
        <w:t>-2</w:t>
      </w:r>
      <w:r w:rsidR="00683AB7" w:rsidRPr="00F31B6B">
        <w:rPr>
          <w:rFonts w:ascii="Public Sans" w:eastAsia="Helvetica" w:hAnsi="Public Sans" w:cs="Segoe UI"/>
        </w:rPr>
        <w:t>3</w:t>
      </w:r>
      <w:r w:rsidR="00910991" w:rsidRPr="00F31B6B">
        <w:rPr>
          <w:rFonts w:ascii="Public Sans" w:eastAsia="Helvetica" w:hAnsi="Public Sans" w:cs="Segoe UI"/>
        </w:rPr>
        <w:t xml:space="preserve">, </w:t>
      </w:r>
      <w:r w:rsidRPr="00F31B6B">
        <w:rPr>
          <w:rFonts w:ascii="Public Sans" w:eastAsia="Helvetica" w:hAnsi="Public Sans" w:cs="Segoe UI"/>
        </w:rPr>
        <w:t xml:space="preserve">a </w:t>
      </w:r>
      <w:r w:rsidR="00660E73" w:rsidRPr="00F31B6B">
        <w:rPr>
          <w:rFonts w:ascii="Public Sans" w:eastAsia="Helvetica" w:hAnsi="Public Sans" w:cs="Segoe UI"/>
        </w:rPr>
        <w:t xml:space="preserve">slightly </w:t>
      </w:r>
      <w:r w:rsidR="005E5950">
        <w:rPr>
          <w:rFonts w:ascii="Public Sans" w:eastAsia="Helvetica" w:hAnsi="Public Sans" w:cs="Segoe UI"/>
        </w:rPr>
        <w:t>higher</w:t>
      </w:r>
      <w:r w:rsidR="00660E73" w:rsidRPr="00F31B6B">
        <w:rPr>
          <w:rFonts w:ascii="Public Sans" w:eastAsia="Helvetica" w:hAnsi="Public Sans" w:cs="Segoe UI"/>
        </w:rPr>
        <w:t xml:space="preserve"> </w:t>
      </w:r>
      <w:r w:rsidRPr="00F31B6B">
        <w:rPr>
          <w:rFonts w:ascii="Public Sans" w:eastAsia="Helvetica" w:hAnsi="Public Sans" w:cs="Segoe UI"/>
        </w:rPr>
        <w:t xml:space="preserve">proportion of allegations related to </w:t>
      </w:r>
      <w:r w:rsidR="004A0F90">
        <w:rPr>
          <w:rFonts w:ascii="Public Sans" w:eastAsia="Helvetica" w:hAnsi="Public Sans" w:cs="Segoe UI"/>
        </w:rPr>
        <w:t>neglect</w:t>
      </w:r>
      <w:r w:rsidR="00DF0E9C" w:rsidRPr="00F31B6B">
        <w:rPr>
          <w:rFonts w:ascii="Public Sans" w:eastAsia="Helvetica" w:hAnsi="Public Sans" w:cs="Segoe UI"/>
        </w:rPr>
        <w:t xml:space="preserve"> (previously </w:t>
      </w:r>
      <w:r w:rsidR="004A0F90">
        <w:rPr>
          <w:rFonts w:ascii="Public Sans" w:eastAsia="Helvetica" w:hAnsi="Public Sans" w:cs="Segoe UI"/>
        </w:rPr>
        <w:t>25</w:t>
      </w:r>
      <w:r w:rsidR="000A2D69" w:rsidRPr="00F31B6B">
        <w:rPr>
          <w:rFonts w:ascii="Public Sans" w:eastAsia="Helvetica" w:hAnsi="Public Sans" w:cs="Segoe UI"/>
        </w:rPr>
        <w:t>.</w:t>
      </w:r>
      <w:r w:rsidR="004A0F90">
        <w:rPr>
          <w:rFonts w:ascii="Public Sans" w:eastAsia="Helvetica" w:hAnsi="Public Sans" w:cs="Segoe UI"/>
        </w:rPr>
        <w:t>5</w:t>
      </w:r>
      <w:r w:rsidR="00DF0E9C" w:rsidRPr="00F31B6B">
        <w:rPr>
          <w:rFonts w:ascii="Public Sans" w:eastAsia="Helvetica" w:hAnsi="Public Sans" w:cs="Segoe UI"/>
        </w:rPr>
        <w:t>%)</w:t>
      </w:r>
      <w:r w:rsidR="004A0F90">
        <w:rPr>
          <w:rFonts w:ascii="Public Sans" w:eastAsia="Helvetica" w:hAnsi="Public Sans" w:cs="Segoe UI"/>
        </w:rPr>
        <w:t xml:space="preserve">, </w:t>
      </w:r>
      <w:r w:rsidR="001A0F6C">
        <w:rPr>
          <w:rFonts w:ascii="Public Sans" w:eastAsia="Helvetica" w:hAnsi="Public Sans" w:cs="Segoe UI"/>
        </w:rPr>
        <w:t xml:space="preserve">physical abuse </w:t>
      </w:r>
      <w:r w:rsidR="00C32B13">
        <w:rPr>
          <w:rFonts w:ascii="Public Sans" w:eastAsia="Helvetica" w:hAnsi="Public Sans" w:cs="Segoe UI"/>
        </w:rPr>
        <w:t>(previously 10.9%),</w:t>
      </w:r>
      <w:r w:rsidR="00DF0E9C" w:rsidRPr="00F31B6B">
        <w:rPr>
          <w:rFonts w:ascii="Public Sans" w:eastAsia="Helvetica" w:hAnsi="Public Sans" w:cs="Segoe UI"/>
        </w:rPr>
        <w:t xml:space="preserve"> and </w:t>
      </w:r>
      <w:r w:rsidR="00C32B13">
        <w:rPr>
          <w:rFonts w:ascii="Public Sans" w:eastAsia="Helvetica" w:hAnsi="Public Sans" w:cs="Segoe UI"/>
        </w:rPr>
        <w:t xml:space="preserve">sexual </w:t>
      </w:r>
      <w:r w:rsidR="00F606A9" w:rsidRPr="00F31B6B">
        <w:rPr>
          <w:rFonts w:ascii="Public Sans" w:eastAsia="Helvetica" w:hAnsi="Public Sans" w:cs="Segoe UI"/>
        </w:rPr>
        <w:t>abuse</w:t>
      </w:r>
      <w:r w:rsidRPr="00F31B6B">
        <w:rPr>
          <w:rFonts w:ascii="Public Sans" w:eastAsia="Helvetica" w:hAnsi="Public Sans" w:cs="Segoe UI"/>
        </w:rPr>
        <w:t xml:space="preserve"> (previously </w:t>
      </w:r>
      <w:r w:rsidR="000A2D69" w:rsidRPr="00F31B6B">
        <w:rPr>
          <w:rFonts w:ascii="Public Sans" w:eastAsia="Helvetica" w:hAnsi="Public Sans" w:cs="Segoe UI"/>
        </w:rPr>
        <w:t>2</w:t>
      </w:r>
      <w:r w:rsidR="00F606A9" w:rsidRPr="00F31B6B">
        <w:rPr>
          <w:rFonts w:ascii="Public Sans" w:eastAsia="Helvetica" w:hAnsi="Public Sans" w:cs="Segoe UI"/>
        </w:rPr>
        <w:t>.</w:t>
      </w:r>
      <w:r w:rsidR="00DF553C">
        <w:rPr>
          <w:rFonts w:ascii="Public Sans" w:eastAsia="Helvetica" w:hAnsi="Public Sans" w:cs="Segoe UI"/>
        </w:rPr>
        <w:t>7</w:t>
      </w:r>
      <w:r w:rsidRPr="00F31B6B">
        <w:rPr>
          <w:rFonts w:ascii="Public Sans" w:eastAsia="Helvetica" w:hAnsi="Public Sans" w:cs="Segoe UI"/>
        </w:rPr>
        <w:t>%)</w:t>
      </w:r>
      <w:r w:rsidR="00170F31" w:rsidRPr="00F31B6B">
        <w:rPr>
          <w:rFonts w:ascii="Public Sans" w:eastAsia="Helvetica" w:hAnsi="Public Sans" w:cs="Segoe UI"/>
        </w:rPr>
        <w:t>.</w:t>
      </w:r>
    </w:p>
    <w:p w14:paraId="5361F531" w14:textId="77777777" w:rsidR="00EB67A8" w:rsidRPr="00F31B6B" w:rsidRDefault="00EB67A8" w:rsidP="0045359B">
      <w:pPr>
        <w:pStyle w:val="Body"/>
        <w:widowControl w:val="0"/>
        <w:spacing w:before="120" w:after="0" w:line="240" w:lineRule="auto"/>
        <w:rPr>
          <w:rFonts w:ascii="Public Sans" w:eastAsia="Helvetica" w:hAnsi="Public Sans" w:cs="Segoe UI"/>
        </w:rPr>
      </w:pPr>
    </w:p>
    <w:p w14:paraId="70083EED" w14:textId="32F791C9" w:rsidR="00106B53" w:rsidRPr="00F31B6B" w:rsidRDefault="00EB67A8" w:rsidP="00EB67A8">
      <w:pPr>
        <w:pStyle w:val="Body"/>
        <w:widowControl w:val="0"/>
        <w:spacing w:after="0" w:line="240" w:lineRule="auto"/>
        <w:rPr>
          <w:rFonts w:ascii="Public Sans" w:eastAsia="Helvetica" w:hAnsi="Public Sans" w:cs="Segoe UI"/>
        </w:rPr>
      </w:pPr>
      <w:r w:rsidRPr="00F31B6B">
        <w:rPr>
          <w:rFonts w:ascii="Public Sans" w:eastAsia="Helvetica" w:hAnsi="Public Sans" w:cs="Segoe UI"/>
          <w:b/>
          <w:sz w:val="18"/>
        </w:rPr>
        <w:t xml:space="preserve">Figure </w:t>
      </w:r>
      <w:r w:rsidR="00B5592F" w:rsidRPr="00F31B6B">
        <w:rPr>
          <w:rFonts w:ascii="Public Sans" w:eastAsia="Helvetica" w:hAnsi="Public Sans" w:cs="Segoe UI"/>
          <w:b/>
          <w:sz w:val="18"/>
        </w:rPr>
        <w:t>1</w:t>
      </w:r>
      <w:r w:rsidR="00912720">
        <w:rPr>
          <w:rFonts w:ascii="Public Sans" w:eastAsia="Helvetica" w:hAnsi="Public Sans" w:cs="Segoe UI"/>
          <w:b/>
          <w:sz w:val="18"/>
        </w:rPr>
        <w:t>4</w:t>
      </w:r>
      <w:r w:rsidRPr="00F31B6B">
        <w:rPr>
          <w:rFonts w:ascii="Public Sans" w:eastAsia="Helvetica" w:hAnsi="Public Sans" w:cs="Segoe UI"/>
          <w:b/>
          <w:sz w:val="18"/>
        </w:rPr>
        <w:t xml:space="preserve">: </w:t>
      </w:r>
      <w:r w:rsidR="00170F31" w:rsidRPr="00F31B6B">
        <w:rPr>
          <w:rFonts w:ascii="Public Sans" w:eastAsia="Helvetica" w:hAnsi="Public Sans" w:cs="Segoe UI"/>
          <w:b/>
          <w:sz w:val="18"/>
        </w:rPr>
        <w:t xml:space="preserve">Percentage </w:t>
      </w:r>
      <w:r w:rsidRPr="00F31B6B">
        <w:rPr>
          <w:rFonts w:ascii="Public Sans" w:eastAsia="Helvetica" w:hAnsi="Public Sans" w:cs="Segoe UI"/>
          <w:b/>
          <w:sz w:val="18"/>
        </w:rPr>
        <w:t>of allegations by type of abuse, reports to the ADC about adults with disability, 202</w:t>
      </w:r>
      <w:r w:rsidR="00741607" w:rsidRPr="00F31B6B">
        <w:rPr>
          <w:rFonts w:ascii="Public Sans" w:eastAsia="Helvetica" w:hAnsi="Public Sans" w:cs="Segoe UI"/>
          <w:b/>
          <w:sz w:val="18"/>
        </w:rPr>
        <w:t>3</w:t>
      </w:r>
      <w:r w:rsidRPr="00F31B6B">
        <w:rPr>
          <w:rFonts w:ascii="Public Sans" w:eastAsia="Helvetica" w:hAnsi="Public Sans" w:cs="Segoe UI"/>
          <w:b/>
          <w:sz w:val="18"/>
        </w:rPr>
        <w:t>-2</w:t>
      </w:r>
      <w:r w:rsidR="00741607" w:rsidRPr="00F31B6B">
        <w:rPr>
          <w:rFonts w:ascii="Public Sans" w:eastAsia="Helvetica" w:hAnsi="Public Sans" w:cs="Segoe UI"/>
          <w:b/>
          <w:sz w:val="18"/>
        </w:rPr>
        <w:t>4</w:t>
      </w:r>
    </w:p>
    <w:p w14:paraId="0762FA0B" w14:textId="49390593" w:rsidR="00285524" w:rsidRPr="00F31B6B" w:rsidRDefault="007E5CDE" w:rsidP="0093633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20"/>
        </w:rPr>
      </w:pPr>
      <w:r w:rsidRPr="00F31B6B">
        <w:rPr>
          <w:noProof/>
        </w:rPr>
        <w:drawing>
          <wp:inline distT="0" distB="0" distL="0" distR="0" wp14:anchorId="2B97C2F4" wp14:editId="1D829075">
            <wp:extent cx="6119495" cy="3133725"/>
            <wp:effectExtent l="0" t="0" r="14605" b="9525"/>
            <wp:docPr id="28" name="Chart 28">
              <a:extLst xmlns:a="http://schemas.openxmlformats.org/drawingml/2006/main">
                <a:ext uri="{FF2B5EF4-FFF2-40B4-BE49-F238E27FC236}">
                  <a16:creationId xmlns:a16="http://schemas.microsoft.com/office/drawing/2014/main" id="{5EC95807-CE41-45F8-9822-52BFFA232E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B1F39DB" w14:textId="77777777" w:rsidR="00EB67A8" w:rsidRPr="00F31B6B" w:rsidRDefault="00EB67A8" w:rsidP="0093633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20"/>
        </w:rPr>
      </w:pPr>
    </w:p>
    <w:p w14:paraId="129823C1" w14:textId="77777777" w:rsidR="0006721C" w:rsidRPr="00F31B6B" w:rsidRDefault="0006721C" w:rsidP="0093633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20"/>
        </w:rPr>
      </w:pPr>
    </w:p>
    <w:p w14:paraId="71A04FEB" w14:textId="2BCAA771" w:rsidR="00936332" w:rsidRPr="00F31B6B" w:rsidRDefault="00936332" w:rsidP="0093633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31B6B">
        <w:rPr>
          <w:rFonts w:ascii="Public Sans" w:eastAsia="Helvetica" w:hAnsi="Public Sans" w:cs="Segoe UI"/>
          <w:b/>
          <w:sz w:val="18"/>
        </w:rPr>
        <w:t xml:space="preserve">Table </w:t>
      </w:r>
      <w:r w:rsidR="00CF7837" w:rsidRPr="00F31B6B">
        <w:rPr>
          <w:rFonts w:ascii="Public Sans" w:eastAsia="Helvetica" w:hAnsi="Public Sans" w:cs="Segoe UI"/>
          <w:b/>
          <w:sz w:val="18"/>
        </w:rPr>
        <w:t>7</w:t>
      </w:r>
      <w:r w:rsidRPr="00F31B6B">
        <w:rPr>
          <w:rFonts w:ascii="Public Sans" w:eastAsia="Helvetica" w:hAnsi="Public Sans" w:cs="Segoe UI"/>
          <w:b/>
          <w:sz w:val="18"/>
        </w:rPr>
        <w:t xml:space="preserve">: Type of alleged abuse </w:t>
      </w:r>
      <w:r w:rsidR="006652CB" w:rsidRPr="00F31B6B">
        <w:rPr>
          <w:rFonts w:ascii="Public Sans" w:eastAsia="Helvetica" w:hAnsi="Public Sans" w:cs="Segoe UI"/>
          <w:b/>
          <w:sz w:val="18"/>
        </w:rPr>
        <w:t>of</w:t>
      </w:r>
      <w:r w:rsidRPr="00F31B6B">
        <w:rPr>
          <w:rFonts w:ascii="Public Sans" w:eastAsia="Helvetica" w:hAnsi="Public Sans" w:cs="Segoe UI"/>
          <w:b/>
          <w:sz w:val="18"/>
        </w:rPr>
        <w:t xml:space="preserve"> the adult with disability in reports to the ADC, </w:t>
      </w:r>
      <w:r w:rsidR="00106B53" w:rsidRPr="00F31B6B">
        <w:rPr>
          <w:rFonts w:ascii="Public Sans" w:eastAsia="Helvetica" w:hAnsi="Public Sans" w:cs="Segoe UI"/>
          <w:b/>
          <w:sz w:val="18"/>
        </w:rPr>
        <w:t>202</w:t>
      </w:r>
      <w:r w:rsidR="004F07F0" w:rsidRPr="00F31B6B">
        <w:rPr>
          <w:rFonts w:ascii="Public Sans" w:eastAsia="Helvetica" w:hAnsi="Public Sans" w:cs="Segoe UI"/>
          <w:b/>
          <w:sz w:val="18"/>
        </w:rPr>
        <w:t>3</w:t>
      </w:r>
      <w:r w:rsidR="00106B53" w:rsidRPr="00F31B6B">
        <w:rPr>
          <w:rFonts w:ascii="Public Sans" w:eastAsia="Helvetica" w:hAnsi="Public Sans" w:cs="Segoe UI"/>
          <w:b/>
          <w:sz w:val="18"/>
        </w:rPr>
        <w:t>-2</w:t>
      </w:r>
      <w:r w:rsidR="004F07F0" w:rsidRPr="00F31B6B">
        <w:rPr>
          <w:rFonts w:ascii="Public Sans" w:eastAsia="Helvetica" w:hAnsi="Public Sans" w:cs="Segoe UI"/>
          <w:b/>
          <w:sz w:val="18"/>
        </w:rPr>
        <w:t>4</w:t>
      </w:r>
      <w:r w:rsidRPr="00F31B6B">
        <w:rPr>
          <w:rStyle w:val="FootnoteReference"/>
          <w:rFonts w:ascii="Public Sans" w:eastAsia="Helvetica" w:hAnsi="Public Sans" w:cs="Segoe UI"/>
          <w:b/>
          <w:sz w:val="18"/>
        </w:rPr>
        <w:footnoteReference w:id="5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47"/>
        <w:gridCol w:w="1345"/>
        <w:gridCol w:w="1410"/>
      </w:tblGrid>
      <w:tr w:rsidR="00F33F16" w:rsidRPr="007600CE" w14:paraId="05B49194" w14:textId="77777777" w:rsidTr="007600CE">
        <w:trPr>
          <w:trHeight w:val="875"/>
        </w:trPr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6E70EF11" w14:textId="77777777" w:rsidR="00C002B4" w:rsidRPr="007600CE" w:rsidRDefault="00C002B4" w:rsidP="00C002B4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Type of alleged abuse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7D904A52" w14:textId="77777777" w:rsidR="00C002B4" w:rsidRPr="007600CE" w:rsidRDefault="00C002B4" w:rsidP="00C002B4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Number of allegations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vAlign w:val="center"/>
            <w:hideMark/>
          </w:tcPr>
          <w:p w14:paraId="23802267" w14:textId="77777777" w:rsidR="00C002B4" w:rsidRPr="007600CE" w:rsidRDefault="00C002B4" w:rsidP="00C002B4">
            <w:pPr>
              <w:spacing w:after="0" w:line="240" w:lineRule="auto"/>
              <w:jc w:val="right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% of all allegations</w:t>
            </w:r>
          </w:p>
        </w:tc>
      </w:tr>
      <w:tr w:rsidR="002E38AA" w:rsidRPr="007600CE" w14:paraId="01198BA1" w14:textId="77777777" w:rsidTr="007600CE">
        <w:trPr>
          <w:trHeight w:val="1074"/>
        </w:trPr>
        <w:tc>
          <w:tcPr>
            <w:tcW w:w="6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BDCD6" w14:textId="77777777" w:rsidR="00C002B4" w:rsidRPr="007600CE" w:rsidRDefault="00C002B4" w:rsidP="007360C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lastRenderedPageBreak/>
              <w:t>Psychological abuse</w:t>
            </w:r>
          </w:p>
          <w:p w14:paraId="182B0186" w14:textId="77777777" w:rsidR="002E38AA" w:rsidRPr="007600CE" w:rsidRDefault="002E38AA" w:rsidP="007360C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</w:p>
          <w:p w14:paraId="36584D14" w14:textId="718AFE2C" w:rsidR="002E38AA" w:rsidRPr="007600CE" w:rsidRDefault="002E38AA" w:rsidP="007360C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(Mainly </w:t>
            </w:r>
            <w:r w:rsidR="00666EA2"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p</w:t>
            </w: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reventing/restricting access to supports/services; </w:t>
            </w:r>
            <w:r w:rsidR="00666EA2"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v</w:t>
            </w: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erbal abuse; and </w:t>
            </w:r>
            <w:r w:rsidR="00666EA2"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m</w:t>
            </w: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aking excessive or degrading demands)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C570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760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5D57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38.0%</w:t>
            </w:r>
          </w:p>
        </w:tc>
      </w:tr>
      <w:tr w:rsidR="002E38AA" w:rsidRPr="007600CE" w14:paraId="7C73465C" w14:textId="77777777" w:rsidTr="007600CE">
        <w:trPr>
          <w:trHeight w:val="863"/>
        </w:trPr>
        <w:tc>
          <w:tcPr>
            <w:tcW w:w="6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D69F" w14:textId="77777777" w:rsidR="00C002B4" w:rsidRPr="007600CE" w:rsidRDefault="00C002B4" w:rsidP="007360C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Neglect</w:t>
            </w:r>
          </w:p>
          <w:p w14:paraId="1CDCD1F5" w14:textId="77777777" w:rsidR="002E38AA" w:rsidRPr="007600CE" w:rsidRDefault="002E38AA" w:rsidP="007360C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</w:p>
          <w:p w14:paraId="4C0E5BBB" w14:textId="58C10B00" w:rsidR="002E38AA" w:rsidRPr="007600CE" w:rsidRDefault="002E38AA" w:rsidP="007360C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(Mainly </w:t>
            </w:r>
            <w:r w:rsidR="00666EA2"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f</w:t>
            </w: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ailure to meet support needs; and </w:t>
            </w:r>
            <w:r w:rsidR="00666EA2"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m</w:t>
            </w: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edical care)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1F045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522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B7C7B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26.1%</w:t>
            </w:r>
          </w:p>
        </w:tc>
      </w:tr>
      <w:tr w:rsidR="002E38AA" w:rsidRPr="007600CE" w14:paraId="0EC88332" w14:textId="77777777" w:rsidTr="007600CE">
        <w:trPr>
          <w:trHeight w:val="1074"/>
        </w:trPr>
        <w:tc>
          <w:tcPr>
            <w:tcW w:w="6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ADCA" w14:textId="77777777" w:rsidR="00C002B4" w:rsidRPr="007600CE" w:rsidRDefault="00C002B4" w:rsidP="007360C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Financial abuse</w:t>
            </w:r>
          </w:p>
          <w:p w14:paraId="1B60E561" w14:textId="77777777" w:rsidR="002E38AA" w:rsidRPr="007600CE" w:rsidRDefault="002E38AA" w:rsidP="007360C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</w:p>
          <w:p w14:paraId="6D5F22CB" w14:textId="57027874" w:rsidR="002E38AA" w:rsidRPr="007600CE" w:rsidRDefault="002E38AA" w:rsidP="007360C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(Mainly </w:t>
            </w:r>
            <w:r w:rsidR="00666EA2"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f</w:t>
            </w: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inancial exploitation; </w:t>
            </w:r>
            <w:r w:rsidR="00666EA2"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p</w:t>
            </w: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reventing access to/withholding Person’s money; and </w:t>
            </w:r>
            <w:r w:rsidR="00666EA2"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t</w:t>
            </w: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heft)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AAD2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390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3BD7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19.5%</w:t>
            </w:r>
          </w:p>
        </w:tc>
      </w:tr>
      <w:tr w:rsidR="002E38AA" w:rsidRPr="007600CE" w14:paraId="6C002F56" w14:textId="77777777" w:rsidTr="007600CE">
        <w:trPr>
          <w:trHeight w:val="1074"/>
        </w:trPr>
        <w:tc>
          <w:tcPr>
            <w:tcW w:w="6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2A3F" w14:textId="77777777" w:rsidR="00C002B4" w:rsidRPr="007600CE" w:rsidRDefault="00C002B4" w:rsidP="007360C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Physical abuse</w:t>
            </w:r>
          </w:p>
          <w:p w14:paraId="4ACF47DE" w14:textId="77777777" w:rsidR="002E38AA" w:rsidRPr="007600CE" w:rsidRDefault="002E38AA" w:rsidP="007360C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</w:p>
          <w:p w14:paraId="3D5DD1B5" w14:textId="70450A24" w:rsidR="002E38AA" w:rsidRPr="007600CE" w:rsidRDefault="002E38AA" w:rsidP="007360C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(Mainly </w:t>
            </w:r>
            <w:r w:rsidR="00CE4D19"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h</w:t>
            </w: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itting/kicking/punching; and </w:t>
            </w:r>
            <w:r w:rsidR="00CE4D19"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p</w:t>
            </w: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ushing/shoving/grabbing/</w:t>
            </w:r>
            <w:r w:rsid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shaking)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DD9A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231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3669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11.6%</w:t>
            </w:r>
          </w:p>
        </w:tc>
      </w:tr>
      <w:tr w:rsidR="002E38AA" w:rsidRPr="007600CE" w14:paraId="63F4FA8D" w14:textId="77777777" w:rsidTr="007600CE">
        <w:trPr>
          <w:trHeight w:val="988"/>
        </w:trPr>
        <w:tc>
          <w:tcPr>
            <w:tcW w:w="6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BACF" w14:textId="77777777" w:rsidR="00C002B4" w:rsidRPr="007600CE" w:rsidRDefault="00C002B4" w:rsidP="007360C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Sexual abuse</w:t>
            </w:r>
          </w:p>
          <w:p w14:paraId="606E2A84" w14:textId="77777777" w:rsidR="00C932DF" w:rsidRPr="007600CE" w:rsidRDefault="00C932DF" w:rsidP="007360C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</w:p>
          <w:p w14:paraId="5E24E43C" w14:textId="1E0CB609" w:rsidR="00C932DF" w:rsidRPr="007600CE" w:rsidRDefault="00C932DF" w:rsidP="007360C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 xml:space="preserve">(Mainly sexual touching; and sexual </w:t>
            </w:r>
            <w:r w:rsidR="00CE4D19"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assault</w:t>
            </w: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C483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76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B2F3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3.8%</w:t>
            </w:r>
          </w:p>
        </w:tc>
      </w:tr>
      <w:tr w:rsidR="002E38AA" w:rsidRPr="007600CE" w14:paraId="3970BEA6" w14:textId="77777777" w:rsidTr="007600CE">
        <w:trPr>
          <w:trHeight w:val="562"/>
        </w:trPr>
        <w:tc>
          <w:tcPr>
            <w:tcW w:w="6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F12D" w14:textId="77777777" w:rsidR="00C002B4" w:rsidRPr="007600CE" w:rsidRDefault="00C002B4" w:rsidP="007360C2">
            <w:pPr>
              <w:spacing w:after="0" w:line="240" w:lineRule="auto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Other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3226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BDBC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  <w:t>1.1%</w:t>
            </w:r>
          </w:p>
        </w:tc>
      </w:tr>
      <w:tr w:rsidR="002E38AA" w:rsidRPr="007600CE" w14:paraId="75B884A7" w14:textId="77777777" w:rsidTr="007600CE">
        <w:trPr>
          <w:trHeight w:val="516"/>
        </w:trPr>
        <w:tc>
          <w:tcPr>
            <w:tcW w:w="664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A89E" w14:textId="610C6DE9" w:rsidR="00C002B4" w:rsidRPr="007600CE" w:rsidRDefault="00B174F6" w:rsidP="007360C2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Segoe UI"/>
                <w:b/>
                <w:color w:val="000000"/>
                <w:sz w:val="21"/>
                <w:szCs w:val="21"/>
                <w:u w:color="000000"/>
              </w:rPr>
              <w:t>Total allegations in reports about adults with disability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785B9" w14:textId="287F1A7A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2,000</w:t>
            </w:r>
          </w:p>
        </w:tc>
        <w:tc>
          <w:tcPr>
            <w:tcW w:w="14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D942" w14:textId="77777777" w:rsidR="00C002B4" w:rsidRPr="007600CE" w:rsidRDefault="00C002B4" w:rsidP="00F33F16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7600CE">
              <w:rPr>
                <w:rFonts w:ascii="Public Sans" w:eastAsia="Times New Roman" w:hAnsi="Public Sans" w:cs="Calibri"/>
                <w:b/>
                <w:bCs/>
                <w:color w:val="000000"/>
                <w:sz w:val="21"/>
                <w:szCs w:val="21"/>
                <w:lang w:eastAsia="en-AU"/>
              </w:rPr>
              <w:t>100%</w:t>
            </w:r>
          </w:p>
        </w:tc>
      </w:tr>
    </w:tbl>
    <w:p w14:paraId="3C130F20" w14:textId="77777777" w:rsidR="001E4ECF" w:rsidRPr="007600CE" w:rsidRDefault="001E4ECF" w:rsidP="00936332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Cs w:val="24"/>
        </w:rPr>
      </w:pPr>
    </w:p>
    <w:p w14:paraId="423804C2" w14:textId="451F54FB" w:rsidR="00440623" w:rsidRPr="00F31B6B" w:rsidRDefault="00440623" w:rsidP="00440623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  <w:r w:rsidRPr="00F31B6B">
        <w:rPr>
          <w:rFonts w:ascii="Public Sans" w:hAnsi="Public Sans" w:cs="Segoe UI"/>
        </w:rPr>
        <w:t xml:space="preserve">The most common allegations reported in relation to adults with disability related to </w:t>
      </w:r>
      <w:r w:rsidR="009A099B" w:rsidRPr="00F31B6B">
        <w:rPr>
          <w:rFonts w:ascii="Public Sans" w:hAnsi="Public Sans" w:cs="Segoe UI"/>
        </w:rPr>
        <w:t xml:space="preserve">them being </w:t>
      </w:r>
      <w:r w:rsidR="00D66F36" w:rsidRPr="00F31B6B">
        <w:rPr>
          <w:rFonts w:ascii="Public Sans" w:hAnsi="Public Sans" w:cs="Segoe UI"/>
        </w:rPr>
        <w:t>financially exploited</w:t>
      </w:r>
      <w:r w:rsidR="009A099B" w:rsidRPr="00F31B6B">
        <w:rPr>
          <w:rFonts w:ascii="Public Sans" w:hAnsi="Public Sans" w:cs="Segoe UI"/>
        </w:rPr>
        <w:t xml:space="preserve">; </w:t>
      </w:r>
      <w:bookmarkStart w:id="0" w:name="_Hlk63087134"/>
      <w:r w:rsidR="002323CD" w:rsidRPr="00F31B6B">
        <w:rPr>
          <w:rFonts w:ascii="Public Sans" w:hAnsi="Public Sans" w:cs="Segoe UI"/>
        </w:rPr>
        <w:t xml:space="preserve">being prevented or restricted from accessing supports/services; </w:t>
      </w:r>
      <w:r w:rsidR="00D21FD6" w:rsidRPr="00F31B6B">
        <w:rPr>
          <w:rFonts w:ascii="Public Sans" w:hAnsi="Public Sans" w:cs="Segoe UI"/>
        </w:rPr>
        <w:t>being verbally abused</w:t>
      </w:r>
      <w:r w:rsidR="00824D08" w:rsidRPr="00F31B6B">
        <w:rPr>
          <w:rFonts w:ascii="Public Sans" w:hAnsi="Public Sans" w:cs="Segoe UI"/>
        </w:rPr>
        <w:t xml:space="preserve">; </w:t>
      </w:r>
      <w:r w:rsidR="009A099B" w:rsidRPr="00F31B6B">
        <w:rPr>
          <w:rFonts w:ascii="Public Sans" w:hAnsi="Public Sans" w:cs="Segoe UI"/>
        </w:rPr>
        <w:t xml:space="preserve">and </w:t>
      </w:r>
      <w:r w:rsidR="00BA58D3" w:rsidRPr="00F31B6B">
        <w:rPr>
          <w:rFonts w:ascii="Public Sans" w:hAnsi="Public Sans" w:cs="Segoe UI"/>
        </w:rPr>
        <w:t>not having their support needs met</w:t>
      </w:r>
      <w:r w:rsidR="009A099B" w:rsidRPr="00F31B6B">
        <w:rPr>
          <w:rFonts w:ascii="Public Sans" w:hAnsi="Public Sans" w:cs="Segoe UI"/>
        </w:rPr>
        <w:t>.</w:t>
      </w:r>
    </w:p>
    <w:bookmarkEnd w:id="0"/>
    <w:p w14:paraId="7A1B60E9" w14:textId="77777777" w:rsidR="005C5F34" w:rsidRPr="00F31B6B" w:rsidRDefault="005C5F34" w:rsidP="00D5664F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14:paraId="0761D411" w14:textId="79F9C77E" w:rsidR="00EC7E06" w:rsidRPr="00F31B6B" w:rsidRDefault="00EC7E06" w:rsidP="00EC7E06">
      <w:pPr>
        <w:pStyle w:val="Body"/>
        <w:widowControl w:val="0"/>
        <w:spacing w:after="0" w:line="240" w:lineRule="auto"/>
        <w:rPr>
          <w:rFonts w:ascii="Public Sans" w:eastAsia="Helvetica" w:hAnsi="Public Sans" w:cs="Segoe UI"/>
          <w:b/>
          <w:sz w:val="18"/>
        </w:rPr>
      </w:pPr>
      <w:r w:rsidRPr="00F31B6B">
        <w:rPr>
          <w:rFonts w:ascii="Public Sans" w:eastAsia="Helvetica" w:hAnsi="Public Sans" w:cs="Segoe UI"/>
          <w:b/>
          <w:sz w:val="18"/>
        </w:rPr>
        <w:t xml:space="preserve">Table </w:t>
      </w:r>
      <w:r w:rsidR="00CF7837" w:rsidRPr="00F31B6B">
        <w:rPr>
          <w:rFonts w:ascii="Public Sans" w:eastAsia="Helvetica" w:hAnsi="Public Sans" w:cs="Segoe UI"/>
          <w:b/>
          <w:sz w:val="18"/>
        </w:rPr>
        <w:t>8</w:t>
      </w:r>
      <w:r w:rsidRPr="00F31B6B">
        <w:rPr>
          <w:rFonts w:ascii="Public Sans" w:eastAsia="Helvetica" w:hAnsi="Public Sans" w:cs="Segoe UI"/>
          <w:b/>
          <w:sz w:val="18"/>
        </w:rPr>
        <w:t xml:space="preserve">: </w:t>
      </w:r>
      <w:r w:rsidR="002279EB" w:rsidRPr="00F31B6B">
        <w:rPr>
          <w:rFonts w:ascii="Public Sans" w:eastAsia="Helvetica" w:hAnsi="Public Sans" w:cs="Segoe UI"/>
          <w:b/>
          <w:sz w:val="18"/>
        </w:rPr>
        <w:t>L</w:t>
      </w:r>
      <w:r w:rsidRPr="00F31B6B">
        <w:rPr>
          <w:rFonts w:ascii="Public Sans" w:eastAsia="Helvetica" w:hAnsi="Public Sans" w:cs="Segoe UI"/>
          <w:b/>
          <w:sz w:val="18"/>
        </w:rPr>
        <w:t>eading reported allegations in relation to adults with disability,</w:t>
      </w:r>
      <w:r w:rsidR="00523A36" w:rsidRPr="00F31B6B">
        <w:rPr>
          <w:rFonts w:ascii="Public Sans" w:eastAsia="Helvetica" w:hAnsi="Public Sans" w:cs="Segoe UI"/>
          <w:b/>
          <w:sz w:val="18"/>
        </w:rPr>
        <w:t xml:space="preserve"> </w:t>
      </w:r>
      <w:r w:rsidR="00B5592F" w:rsidRPr="00F31B6B">
        <w:rPr>
          <w:rFonts w:ascii="Public Sans" w:eastAsia="Helvetica" w:hAnsi="Public Sans" w:cs="Segoe UI"/>
          <w:b/>
          <w:sz w:val="18"/>
        </w:rPr>
        <w:t>202</w:t>
      </w:r>
      <w:r w:rsidR="001F5863" w:rsidRPr="00F31B6B">
        <w:rPr>
          <w:rFonts w:ascii="Public Sans" w:eastAsia="Helvetica" w:hAnsi="Public Sans" w:cs="Segoe UI"/>
          <w:b/>
          <w:sz w:val="18"/>
        </w:rPr>
        <w:t>3</w:t>
      </w:r>
      <w:r w:rsidR="00B5592F" w:rsidRPr="00F31B6B">
        <w:rPr>
          <w:rFonts w:ascii="Public Sans" w:eastAsia="Helvetica" w:hAnsi="Public Sans" w:cs="Segoe UI"/>
          <w:b/>
          <w:sz w:val="18"/>
        </w:rPr>
        <w:t>-</w:t>
      </w:r>
      <w:r w:rsidRPr="00F31B6B">
        <w:rPr>
          <w:rFonts w:ascii="Public Sans" w:eastAsia="Helvetica" w:hAnsi="Public Sans" w:cs="Segoe UI"/>
          <w:b/>
          <w:sz w:val="18"/>
        </w:rPr>
        <w:t>2</w:t>
      </w:r>
      <w:r w:rsidR="001F5863" w:rsidRPr="00F31B6B">
        <w:rPr>
          <w:rFonts w:ascii="Public Sans" w:eastAsia="Helvetica" w:hAnsi="Public Sans" w:cs="Segoe UI"/>
          <w:b/>
          <w:sz w:val="18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"/>
        <w:gridCol w:w="7001"/>
        <w:gridCol w:w="1824"/>
      </w:tblGrid>
      <w:tr w:rsidR="007467EE" w:rsidRPr="007467EE" w14:paraId="46D8459D" w14:textId="77777777" w:rsidTr="007467E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CCDF"/>
            <w:hideMark/>
          </w:tcPr>
          <w:p w14:paraId="006FEDE4" w14:textId="58A8EED8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CDF"/>
            <w:hideMark/>
          </w:tcPr>
          <w:p w14:paraId="6105FD72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Reported allegation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CCDF"/>
            <w:hideMark/>
          </w:tcPr>
          <w:p w14:paraId="3DD8F268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b/>
                <w:bCs/>
                <w:color w:val="000000"/>
                <w:sz w:val="20"/>
                <w:szCs w:val="20"/>
                <w:lang w:eastAsia="en-AU"/>
              </w:rPr>
              <w:t>Number of cases</w:t>
            </w:r>
          </w:p>
        </w:tc>
      </w:tr>
      <w:tr w:rsidR="007467EE" w:rsidRPr="007467EE" w14:paraId="04A992BB" w14:textId="77777777" w:rsidTr="007467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7CF6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DCE9" w14:textId="77777777" w:rsidR="007467EE" w:rsidRPr="007467EE" w:rsidRDefault="007467EE" w:rsidP="007467EE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Financial exploitation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8DB8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205</w:t>
            </w:r>
          </w:p>
        </w:tc>
      </w:tr>
      <w:tr w:rsidR="007467EE" w:rsidRPr="007467EE" w14:paraId="18E92337" w14:textId="77777777" w:rsidTr="007467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BCF6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2FF0" w14:textId="77777777" w:rsidR="007467EE" w:rsidRPr="007467EE" w:rsidRDefault="007467EE" w:rsidP="007467EE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Psychological abuse - Preventing/restricting access to supports/services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ECB7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203</w:t>
            </w:r>
          </w:p>
        </w:tc>
      </w:tr>
      <w:tr w:rsidR="007467EE" w:rsidRPr="007467EE" w14:paraId="3E28250A" w14:textId="77777777" w:rsidTr="007467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BCD6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3EFF" w14:textId="77777777" w:rsidR="007467EE" w:rsidRPr="007467EE" w:rsidRDefault="007467EE" w:rsidP="007467EE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Psychological abuse - Verbal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B400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197</w:t>
            </w:r>
          </w:p>
        </w:tc>
      </w:tr>
      <w:tr w:rsidR="007467EE" w:rsidRPr="007467EE" w14:paraId="4C79D516" w14:textId="77777777" w:rsidTr="007467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BD96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EBE0" w14:textId="77777777" w:rsidR="007467EE" w:rsidRPr="007467EE" w:rsidRDefault="007467EE" w:rsidP="007467EE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Neglect - Failure to meet support needs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B5AF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182</w:t>
            </w:r>
          </w:p>
        </w:tc>
      </w:tr>
      <w:tr w:rsidR="007467EE" w:rsidRPr="007467EE" w14:paraId="022EB14E" w14:textId="77777777" w:rsidTr="007467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9703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4F1E" w14:textId="77777777" w:rsidR="007467EE" w:rsidRPr="007467EE" w:rsidRDefault="007467EE" w:rsidP="007467EE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Psychological abuse - Making excessive or degrading demands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03A6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134</w:t>
            </w:r>
          </w:p>
        </w:tc>
      </w:tr>
      <w:tr w:rsidR="007467EE" w:rsidRPr="007467EE" w14:paraId="703FDD60" w14:textId="77777777" w:rsidTr="007467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A113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4865" w14:textId="77777777" w:rsidR="007467EE" w:rsidRPr="007467EE" w:rsidRDefault="007467EE" w:rsidP="007467EE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Neglect - Medical care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2A27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116</w:t>
            </w:r>
          </w:p>
        </w:tc>
      </w:tr>
      <w:tr w:rsidR="007467EE" w:rsidRPr="007467EE" w14:paraId="5F3940E4" w14:textId="77777777" w:rsidTr="007467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A974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B177" w14:textId="77777777" w:rsidR="007467EE" w:rsidRPr="007467EE" w:rsidRDefault="007467EE" w:rsidP="007467EE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Psychological abuse - Other psychological abuse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F267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114</w:t>
            </w:r>
          </w:p>
        </w:tc>
      </w:tr>
      <w:tr w:rsidR="007467EE" w:rsidRPr="007467EE" w14:paraId="513FD2BD" w14:textId="77777777" w:rsidTr="007467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651D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CDCC" w14:textId="77777777" w:rsidR="007467EE" w:rsidRPr="007467EE" w:rsidRDefault="007467EE" w:rsidP="007467EE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Physical abuse - Hitting/kicking/punching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D0CC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82</w:t>
            </w:r>
          </w:p>
        </w:tc>
      </w:tr>
      <w:tr w:rsidR="007467EE" w:rsidRPr="007467EE" w14:paraId="36411023" w14:textId="77777777" w:rsidTr="007467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7215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45CE" w14:textId="77777777" w:rsidR="007467EE" w:rsidRPr="007467EE" w:rsidRDefault="007467EE" w:rsidP="007467EE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Financial abuse - Preventing access to/withholding Person’s money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AFD3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61</w:t>
            </w:r>
          </w:p>
        </w:tc>
      </w:tr>
      <w:tr w:rsidR="007467EE" w:rsidRPr="007467EE" w14:paraId="30C56B51" w14:textId="77777777" w:rsidTr="007467E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EA6D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3E07" w14:textId="77777777" w:rsidR="007467EE" w:rsidRPr="007467EE" w:rsidRDefault="007467EE" w:rsidP="007467EE">
            <w:pPr>
              <w:spacing w:after="0" w:line="240" w:lineRule="auto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Financial abuse - Theft (taking person’s money)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51B5" w14:textId="77777777" w:rsidR="007467EE" w:rsidRPr="007467EE" w:rsidRDefault="007467EE" w:rsidP="007467EE">
            <w:pPr>
              <w:spacing w:after="0" w:line="240" w:lineRule="auto"/>
              <w:jc w:val="center"/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</w:pPr>
            <w:r w:rsidRPr="007467EE">
              <w:rPr>
                <w:rFonts w:ascii="Public Sans" w:eastAsia="Times New Roman" w:hAnsi="Public Sans" w:cs="Calibri"/>
                <w:color w:val="000000"/>
                <w:sz w:val="20"/>
                <w:szCs w:val="20"/>
                <w:lang w:eastAsia="en-AU"/>
              </w:rPr>
              <w:t>47</w:t>
            </w:r>
          </w:p>
        </w:tc>
      </w:tr>
    </w:tbl>
    <w:p w14:paraId="6151E56F" w14:textId="77777777" w:rsidR="00B56EA2" w:rsidRPr="00F31B6B" w:rsidRDefault="00B56EA2" w:rsidP="00B56EA2">
      <w:pPr>
        <w:pStyle w:val="Heading1"/>
        <w:spacing w:before="0" w:after="0"/>
        <w:rPr>
          <w:rFonts w:ascii="Public Sans" w:hAnsi="Public Sans"/>
          <w:b/>
          <w:sz w:val="22"/>
        </w:rPr>
      </w:pPr>
    </w:p>
    <w:p w14:paraId="1DDBBF13" w14:textId="77777777" w:rsidR="00DD4B9C" w:rsidRPr="00F31B6B" w:rsidRDefault="00DD4B9C" w:rsidP="00B56EA2">
      <w:pPr>
        <w:pStyle w:val="Heading1"/>
        <w:numPr>
          <w:ilvl w:val="0"/>
          <w:numId w:val="10"/>
        </w:numPr>
        <w:spacing w:before="240"/>
        <w:ind w:left="425" w:hanging="425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>Actions/ outcomes</w:t>
      </w:r>
    </w:p>
    <w:p w14:paraId="123DF706" w14:textId="77777777" w:rsidR="001C3F32" w:rsidRPr="00F31B6B" w:rsidRDefault="00463D6D" w:rsidP="00EE35DC">
      <w:pPr>
        <w:pStyle w:val="Body"/>
        <w:widowControl w:val="0"/>
        <w:spacing w:before="240" w:after="0" w:line="240" w:lineRule="auto"/>
        <w:rPr>
          <w:rFonts w:ascii="Public Sans" w:hAnsi="Public Sans" w:cs="Segoe UI"/>
          <w:b/>
        </w:rPr>
      </w:pPr>
      <w:r w:rsidRPr="00F31B6B">
        <w:rPr>
          <w:rStyle w:val="Heading2Char"/>
          <w:rFonts w:ascii="Public Sans" w:hAnsi="Public Sans"/>
          <w:b/>
        </w:rPr>
        <w:t>6.1</w:t>
      </w:r>
      <w:r w:rsidRPr="00F31B6B">
        <w:rPr>
          <w:rStyle w:val="Heading2Char"/>
          <w:rFonts w:ascii="Public Sans" w:hAnsi="Public Sans"/>
          <w:b/>
        </w:rPr>
        <w:tab/>
      </w:r>
      <w:r w:rsidR="001C3F32" w:rsidRPr="00F31B6B">
        <w:rPr>
          <w:rStyle w:val="Heading2Char"/>
          <w:rFonts w:ascii="Public Sans" w:hAnsi="Public Sans"/>
          <w:b/>
        </w:rPr>
        <w:t>Primary action by ADC</w:t>
      </w:r>
      <w:r w:rsidR="00AB1035" w:rsidRPr="00F31B6B">
        <w:rPr>
          <w:rStyle w:val="Heading2Char"/>
          <w:rFonts w:ascii="Public Sans" w:hAnsi="Public Sans"/>
          <w:b/>
        </w:rPr>
        <w:t xml:space="preserve"> (closed reports)</w:t>
      </w:r>
    </w:p>
    <w:p w14:paraId="6E3A60B7" w14:textId="4A195DB1" w:rsidR="00DD4B9C" w:rsidRPr="00F31B6B" w:rsidRDefault="00AC0B65" w:rsidP="00EF08E9">
      <w:pPr>
        <w:pStyle w:val="Body"/>
        <w:widowControl w:val="0"/>
        <w:spacing w:before="120" w:after="0" w:line="240" w:lineRule="auto"/>
        <w:rPr>
          <w:rFonts w:ascii="Public Sans" w:hAnsi="Public Sans" w:cs="Segoe UI"/>
        </w:rPr>
      </w:pPr>
      <w:r w:rsidRPr="00F31B6B">
        <w:rPr>
          <w:rFonts w:ascii="Public Sans" w:hAnsi="Public Sans" w:cs="Segoe UI"/>
        </w:rPr>
        <w:t xml:space="preserve">The ADC closed </w:t>
      </w:r>
      <w:r w:rsidR="00887FCD" w:rsidRPr="00F31B6B">
        <w:rPr>
          <w:rFonts w:ascii="Public Sans" w:hAnsi="Public Sans" w:cs="Segoe UI"/>
        </w:rPr>
        <w:t>4</w:t>
      </w:r>
      <w:r w:rsidR="002774D4" w:rsidRPr="00F31B6B">
        <w:rPr>
          <w:rFonts w:ascii="Public Sans" w:hAnsi="Public Sans" w:cs="Segoe UI"/>
        </w:rPr>
        <w:t>,</w:t>
      </w:r>
      <w:r w:rsidR="00E606F1" w:rsidRPr="00F31B6B">
        <w:rPr>
          <w:rFonts w:ascii="Public Sans" w:hAnsi="Public Sans" w:cs="Segoe UI"/>
        </w:rPr>
        <w:t>687</w:t>
      </w:r>
      <w:r w:rsidRPr="00F31B6B">
        <w:rPr>
          <w:rFonts w:ascii="Public Sans" w:hAnsi="Public Sans" w:cs="Segoe UI"/>
        </w:rPr>
        <w:t xml:space="preserve"> reports in </w:t>
      </w:r>
      <w:r w:rsidR="002774D4" w:rsidRPr="00F31B6B">
        <w:rPr>
          <w:rFonts w:ascii="Public Sans" w:hAnsi="Public Sans" w:cs="Segoe UI"/>
        </w:rPr>
        <w:t>202</w:t>
      </w:r>
      <w:r w:rsidR="00D836C1" w:rsidRPr="00F31B6B">
        <w:rPr>
          <w:rFonts w:ascii="Public Sans" w:hAnsi="Public Sans" w:cs="Segoe UI"/>
        </w:rPr>
        <w:t>3</w:t>
      </w:r>
      <w:r w:rsidR="002774D4" w:rsidRPr="00F31B6B">
        <w:rPr>
          <w:rFonts w:ascii="Public Sans" w:hAnsi="Public Sans" w:cs="Segoe UI"/>
        </w:rPr>
        <w:t>-2</w:t>
      </w:r>
      <w:r w:rsidR="00D836C1" w:rsidRPr="00F31B6B">
        <w:rPr>
          <w:rFonts w:ascii="Public Sans" w:hAnsi="Public Sans" w:cs="Segoe UI"/>
        </w:rPr>
        <w:t>4</w:t>
      </w:r>
      <w:r w:rsidR="00243DFE" w:rsidRPr="00F31B6B">
        <w:rPr>
          <w:rFonts w:ascii="Public Sans" w:hAnsi="Public Sans" w:cs="Segoe UI"/>
        </w:rPr>
        <w:t xml:space="preserve">, </w:t>
      </w:r>
      <w:r w:rsidR="00C34802" w:rsidRPr="00F31B6B">
        <w:rPr>
          <w:rFonts w:ascii="Public Sans" w:hAnsi="Public Sans" w:cs="Segoe UI"/>
        </w:rPr>
        <w:t>an</w:t>
      </w:r>
      <w:r w:rsidR="007649F5" w:rsidRPr="00F31B6B">
        <w:rPr>
          <w:rFonts w:ascii="Public Sans" w:hAnsi="Public Sans" w:cs="Segoe UI"/>
        </w:rPr>
        <w:t xml:space="preserve"> increase of </w:t>
      </w:r>
      <w:r w:rsidR="003F61E2" w:rsidRPr="00F31B6B">
        <w:rPr>
          <w:rFonts w:ascii="Public Sans" w:hAnsi="Public Sans" w:cs="Segoe UI"/>
        </w:rPr>
        <w:t>11</w:t>
      </w:r>
      <w:r w:rsidR="00887FCD" w:rsidRPr="00F31B6B">
        <w:rPr>
          <w:rFonts w:ascii="Public Sans" w:hAnsi="Public Sans" w:cs="Segoe UI"/>
        </w:rPr>
        <w:t>.</w:t>
      </w:r>
      <w:r w:rsidR="003F61E2" w:rsidRPr="00F31B6B">
        <w:rPr>
          <w:rFonts w:ascii="Public Sans" w:hAnsi="Public Sans" w:cs="Segoe UI"/>
        </w:rPr>
        <w:t>9</w:t>
      </w:r>
      <w:r w:rsidR="00243DFE" w:rsidRPr="00F31B6B">
        <w:rPr>
          <w:rFonts w:ascii="Public Sans" w:hAnsi="Public Sans" w:cs="Segoe UI"/>
        </w:rPr>
        <w:t>% on the previous year</w:t>
      </w:r>
      <w:r w:rsidRPr="00F31B6B">
        <w:rPr>
          <w:rFonts w:ascii="Public Sans" w:hAnsi="Public Sans" w:cs="Segoe UI"/>
        </w:rPr>
        <w:t xml:space="preserve">. </w:t>
      </w:r>
      <w:r w:rsidR="00151AF4" w:rsidRPr="00F31B6B">
        <w:rPr>
          <w:rFonts w:ascii="Public Sans" w:hAnsi="Public Sans" w:cs="Segoe UI"/>
        </w:rPr>
        <w:t xml:space="preserve">Around </w:t>
      </w:r>
      <w:r w:rsidR="002719AE">
        <w:rPr>
          <w:rFonts w:ascii="Public Sans" w:hAnsi="Public Sans" w:cs="Segoe UI"/>
        </w:rPr>
        <w:t>77.3</w:t>
      </w:r>
      <w:r w:rsidR="00151AF4" w:rsidRPr="00F31B6B">
        <w:rPr>
          <w:rFonts w:ascii="Public Sans" w:hAnsi="Public Sans" w:cs="Segoe UI"/>
        </w:rPr>
        <w:t xml:space="preserve">% </w:t>
      </w:r>
      <w:r w:rsidRPr="00F31B6B">
        <w:rPr>
          <w:rFonts w:ascii="Public Sans" w:hAnsi="Public Sans" w:cs="Segoe UI"/>
        </w:rPr>
        <w:t xml:space="preserve">of the reports were handled </w:t>
      </w:r>
      <w:r w:rsidR="009B4986" w:rsidRPr="00F31B6B">
        <w:rPr>
          <w:rFonts w:ascii="Public Sans" w:hAnsi="Public Sans" w:cs="Segoe UI"/>
        </w:rPr>
        <w:t xml:space="preserve">at an early point </w:t>
      </w:r>
      <w:r w:rsidRPr="00F31B6B">
        <w:rPr>
          <w:rFonts w:ascii="Public Sans" w:hAnsi="Public Sans" w:cs="Segoe UI"/>
        </w:rPr>
        <w:t>by</w:t>
      </w:r>
      <w:r w:rsidR="009A3EEF" w:rsidRPr="00F31B6B">
        <w:rPr>
          <w:rFonts w:ascii="Public Sans" w:hAnsi="Public Sans" w:cs="Segoe UI"/>
        </w:rPr>
        <w:t xml:space="preserve"> the Ageing and Disability Abuse Helpline</w:t>
      </w:r>
      <w:r w:rsidRPr="00F31B6B">
        <w:rPr>
          <w:rFonts w:ascii="Public Sans" w:hAnsi="Public Sans" w:cs="Segoe UI"/>
        </w:rPr>
        <w:t xml:space="preserve"> </w:t>
      </w:r>
      <w:proofErr w:type="gramStart"/>
      <w:r w:rsidRPr="00F31B6B">
        <w:rPr>
          <w:rFonts w:ascii="Public Sans" w:hAnsi="Public Sans" w:cs="Segoe UI"/>
        </w:rPr>
        <w:t>providing assistance</w:t>
      </w:r>
      <w:proofErr w:type="gramEnd"/>
      <w:r w:rsidRPr="00F31B6B">
        <w:rPr>
          <w:rFonts w:ascii="Public Sans" w:hAnsi="Public Sans" w:cs="Segoe UI"/>
        </w:rPr>
        <w:t xml:space="preserve"> and support to the caller, referring matters to other appropriate parties, and providing early case coordination to the adult. </w:t>
      </w:r>
    </w:p>
    <w:p w14:paraId="509D4DE2" w14:textId="77777777" w:rsidR="001C3F32" w:rsidRPr="00F31B6B" w:rsidRDefault="001C3F32" w:rsidP="00D5664F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14:paraId="3DC1A541" w14:textId="0C8697FC" w:rsidR="001C3F32" w:rsidRPr="00F31B6B" w:rsidRDefault="001C3F32" w:rsidP="00D5664F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  <w:r w:rsidRPr="003400F9">
        <w:rPr>
          <w:rFonts w:ascii="Public Sans" w:hAnsi="Public Sans" w:cs="Segoe UI"/>
          <w:color w:val="auto"/>
        </w:rPr>
        <w:t xml:space="preserve">In </w:t>
      </w:r>
      <w:r w:rsidR="00E207C3" w:rsidRPr="003400F9">
        <w:rPr>
          <w:rFonts w:ascii="Public Sans" w:hAnsi="Public Sans" w:cs="Segoe UI"/>
          <w:color w:val="auto"/>
        </w:rPr>
        <w:t>2</w:t>
      </w:r>
      <w:r w:rsidR="00CA49D4" w:rsidRPr="003400F9">
        <w:rPr>
          <w:rFonts w:ascii="Public Sans" w:hAnsi="Public Sans" w:cs="Segoe UI"/>
          <w:color w:val="auto"/>
        </w:rPr>
        <w:t>0.8</w:t>
      </w:r>
      <w:r w:rsidR="002774D4" w:rsidRPr="003400F9">
        <w:rPr>
          <w:rFonts w:ascii="Public Sans" w:hAnsi="Public Sans" w:cs="Segoe UI"/>
          <w:color w:val="auto"/>
        </w:rPr>
        <w:t>%</w:t>
      </w:r>
      <w:r w:rsidR="00866DEC" w:rsidRPr="003400F9">
        <w:rPr>
          <w:rFonts w:ascii="Public Sans" w:hAnsi="Public Sans" w:cs="Segoe UI"/>
          <w:color w:val="auto"/>
        </w:rPr>
        <w:t xml:space="preserve"> </w:t>
      </w:r>
      <w:r w:rsidRPr="003400F9">
        <w:rPr>
          <w:rFonts w:ascii="Public Sans" w:hAnsi="Public Sans" w:cs="Segoe UI"/>
          <w:color w:val="auto"/>
        </w:rPr>
        <w:t>of the reports closed in</w:t>
      </w:r>
      <w:r w:rsidR="002774D4" w:rsidRPr="003400F9">
        <w:rPr>
          <w:rFonts w:ascii="Public Sans" w:hAnsi="Public Sans" w:cs="Segoe UI"/>
          <w:color w:val="auto"/>
        </w:rPr>
        <w:t xml:space="preserve"> 202</w:t>
      </w:r>
      <w:r w:rsidR="007526D8" w:rsidRPr="003400F9">
        <w:rPr>
          <w:rFonts w:ascii="Public Sans" w:hAnsi="Public Sans" w:cs="Segoe UI"/>
          <w:color w:val="auto"/>
        </w:rPr>
        <w:t>3</w:t>
      </w:r>
      <w:r w:rsidR="002774D4" w:rsidRPr="003400F9">
        <w:rPr>
          <w:rFonts w:ascii="Public Sans" w:hAnsi="Public Sans" w:cs="Segoe UI"/>
          <w:color w:val="auto"/>
        </w:rPr>
        <w:t>-2</w:t>
      </w:r>
      <w:r w:rsidR="007526D8" w:rsidRPr="003400F9">
        <w:rPr>
          <w:rFonts w:ascii="Public Sans" w:hAnsi="Public Sans" w:cs="Segoe UI"/>
          <w:color w:val="auto"/>
        </w:rPr>
        <w:t>4</w:t>
      </w:r>
      <w:r w:rsidR="002774D4" w:rsidRPr="003400F9">
        <w:rPr>
          <w:rFonts w:ascii="Public Sans" w:hAnsi="Public Sans" w:cs="Segoe UI"/>
          <w:color w:val="auto"/>
        </w:rPr>
        <w:t xml:space="preserve"> (</w:t>
      </w:r>
      <w:r w:rsidR="00B42C9D" w:rsidRPr="003400F9">
        <w:rPr>
          <w:rFonts w:ascii="Public Sans" w:hAnsi="Public Sans" w:cs="Segoe UI"/>
          <w:color w:val="auto"/>
        </w:rPr>
        <w:t>4,</w:t>
      </w:r>
      <w:r w:rsidR="003400F9" w:rsidRPr="003400F9">
        <w:rPr>
          <w:rFonts w:ascii="Public Sans" w:hAnsi="Public Sans" w:cs="Segoe UI"/>
          <w:color w:val="auto"/>
        </w:rPr>
        <w:t>687</w:t>
      </w:r>
      <w:r w:rsidR="002774D4" w:rsidRPr="003400F9">
        <w:rPr>
          <w:rFonts w:ascii="Public Sans" w:hAnsi="Public Sans" w:cs="Segoe UI"/>
          <w:color w:val="auto"/>
        </w:rPr>
        <w:t>)</w:t>
      </w:r>
      <w:r w:rsidRPr="003400F9">
        <w:rPr>
          <w:rFonts w:ascii="Public Sans" w:hAnsi="Public Sans" w:cs="Segoe UI"/>
          <w:color w:val="auto"/>
        </w:rPr>
        <w:t xml:space="preserve">, </w:t>
      </w:r>
      <w:r w:rsidR="00463D6D" w:rsidRPr="003400F9">
        <w:rPr>
          <w:rFonts w:ascii="Public Sans" w:hAnsi="Public Sans" w:cs="Segoe UI"/>
          <w:color w:val="auto"/>
        </w:rPr>
        <w:t xml:space="preserve">the </w:t>
      </w:r>
      <w:r w:rsidR="00463D6D" w:rsidRPr="00F31B6B">
        <w:rPr>
          <w:rFonts w:ascii="Public Sans" w:hAnsi="Public Sans" w:cs="Segoe UI"/>
        </w:rPr>
        <w:t xml:space="preserve">primary action taken by the ADC </w:t>
      </w:r>
      <w:r w:rsidR="00463D6D" w:rsidRPr="00F31B6B">
        <w:rPr>
          <w:rFonts w:ascii="Public Sans" w:hAnsi="Public Sans" w:cs="Segoe UI"/>
        </w:rPr>
        <w:lastRenderedPageBreak/>
        <w:t xml:space="preserve">involved further </w:t>
      </w:r>
      <w:r w:rsidR="000C33EC" w:rsidRPr="00F31B6B">
        <w:rPr>
          <w:rFonts w:ascii="Public Sans" w:hAnsi="Public Sans" w:cs="Segoe UI"/>
        </w:rPr>
        <w:t>work</w:t>
      </w:r>
      <w:r w:rsidR="00463D6D" w:rsidRPr="00F31B6B">
        <w:rPr>
          <w:rFonts w:ascii="Public Sans" w:hAnsi="Public Sans" w:cs="Segoe UI"/>
        </w:rPr>
        <w:t xml:space="preserve"> on the report, including making inquiries; working with the adult and other parties to address risks and improve outcomes; referring the matter to NSW Police; and</w:t>
      </w:r>
      <w:r w:rsidR="000C33EC" w:rsidRPr="00F31B6B">
        <w:rPr>
          <w:rFonts w:ascii="Public Sans" w:hAnsi="Public Sans" w:cs="Segoe UI"/>
        </w:rPr>
        <w:t>/or</w:t>
      </w:r>
      <w:r w:rsidR="00463D6D" w:rsidRPr="00F31B6B">
        <w:rPr>
          <w:rFonts w:ascii="Public Sans" w:hAnsi="Public Sans" w:cs="Segoe UI"/>
        </w:rPr>
        <w:t xml:space="preserve"> investigating. </w:t>
      </w:r>
    </w:p>
    <w:p w14:paraId="314A7D94" w14:textId="77777777" w:rsidR="00A662DD" w:rsidRPr="00F31B6B" w:rsidRDefault="00A662DD" w:rsidP="00D5664F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14:paraId="5870E027" w14:textId="2932020A" w:rsidR="00652F7C" w:rsidRPr="00F31B6B" w:rsidRDefault="00652F7C" w:rsidP="001C3F32">
      <w:pPr>
        <w:spacing w:after="0" w:line="240" w:lineRule="auto"/>
        <w:rPr>
          <w:rFonts w:ascii="Public Sans" w:hAnsi="Public Sans" w:cs="Segoe UI"/>
          <w:b/>
          <w:sz w:val="20"/>
        </w:rPr>
      </w:pPr>
      <w:r w:rsidRPr="00F31B6B">
        <w:rPr>
          <w:rFonts w:ascii="Public Sans" w:hAnsi="Public Sans" w:cs="Segoe UI"/>
          <w:b/>
          <w:sz w:val="18"/>
        </w:rPr>
        <w:t xml:space="preserve">Table </w:t>
      </w:r>
      <w:r w:rsidR="00CF7837" w:rsidRPr="00F31B6B">
        <w:rPr>
          <w:rFonts w:ascii="Public Sans" w:hAnsi="Public Sans" w:cs="Segoe UI"/>
          <w:b/>
          <w:sz w:val="18"/>
        </w:rPr>
        <w:t>9</w:t>
      </w:r>
      <w:r w:rsidRPr="00F31B6B">
        <w:rPr>
          <w:rFonts w:ascii="Public Sans" w:hAnsi="Public Sans" w:cs="Segoe UI"/>
          <w:b/>
          <w:sz w:val="18"/>
        </w:rPr>
        <w:t>:</w:t>
      </w:r>
      <w:r w:rsidRPr="00F31B6B">
        <w:rPr>
          <w:rFonts w:ascii="Public Sans" w:hAnsi="Public Sans" w:cs="Segoe UI"/>
          <w:b/>
          <w:sz w:val="18"/>
        </w:rPr>
        <w:tab/>
        <w:t xml:space="preserve">Primary action taken by </w:t>
      </w:r>
      <w:proofErr w:type="gramStart"/>
      <w:r w:rsidRPr="00F31B6B">
        <w:rPr>
          <w:rFonts w:ascii="Public Sans" w:hAnsi="Public Sans" w:cs="Segoe UI"/>
          <w:b/>
          <w:sz w:val="18"/>
        </w:rPr>
        <w:t>ADC,</w:t>
      </w:r>
      <w:proofErr w:type="gramEnd"/>
      <w:r w:rsidRPr="00F31B6B">
        <w:rPr>
          <w:rFonts w:ascii="Public Sans" w:hAnsi="Public Sans" w:cs="Segoe UI"/>
          <w:b/>
          <w:sz w:val="18"/>
        </w:rPr>
        <w:t xml:space="preserve"> reports closed </w:t>
      </w:r>
      <w:r w:rsidR="00AC0B65" w:rsidRPr="00F31B6B">
        <w:rPr>
          <w:rFonts w:ascii="Public Sans" w:hAnsi="Public Sans" w:cs="Segoe UI"/>
          <w:b/>
          <w:sz w:val="18"/>
        </w:rPr>
        <w:t xml:space="preserve">in </w:t>
      </w:r>
      <w:r w:rsidR="00A249BE" w:rsidRPr="00F31B6B">
        <w:rPr>
          <w:rFonts w:ascii="Public Sans" w:hAnsi="Public Sans" w:cs="Segoe UI"/>
          <w:b/>
          <w:sz w:val="18"/>
        </w:rPr>
        <w:t>202</w:t>
      </w:r>
      <w:r w:rsidR="00B97BFF" w:rsidRPr="00F31B6B">
        <w:rPr>
          <w:rFonts w:ascii="Public Sans" w:hAnsi="Public Sans" w:cs="Segoe UI"/>
          <w:b/>
          <w:sz w:val="18"/>
        </w:rPr>
        <w:t>3</w:t>
      </w:r>
      <w:r w:rsidR="00A249BE" w:rsidRPr="00F31B6B">
        <w:rPr>
          <w:rFonts w:ascii="Public Sans" w:hAnsi="Public Sans" w:cs="Segoe UI"/>
          <w:b/>
          <w:sz w:val="18"/>
        </w:rPr>
        <w:t>-</w:t>
      </w:r>
      <w:r w:rsidRPr="00F31B6B">
        <w:rPr>
          <w:rFonts w:ascii="Public Sans" w:hAnsi="Public Sans" w:cs="Segoe UI"/>
          <w:b/>
          <w:sz w:val="18"/>
        </w:rPr>
        <w:t>2</w:t>
      </w:r>
      <w:r w:rsidR="00B97BFF" w:rsidRPr="00F31B6B">
        <w:rPr>
          <w:rFonts w:ascii="Public Sans" w:hAnsi="Public Sans" w:cs="Segoe UI"/>
          <w:b/>
          <w:sz w:val="18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66"/>
        <w:gridCol w:w="1426"/>
      </w:tblGrid>
      <w:tr w:rsidR="007B2057" w:rsidRPr="00F31B6B" w14:paraId="1E1AFACA" w14:textId="77777777" w:rsidTr="00A35C17">
        <w:trPr>
          <w:trHeight w:val="427"/>
        </w:trPr>
        <w:tc>
          <w:tcPr>
            <w:tcW w:w="4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CDF"/>
            <w:vAlign w:val="center"/>
            <w:hideMark/>
          </w:tcPr>
          <w:p w14:paraId="7D5418AC" w14:textId="77777777" w:rsidR="007B2057" w:rsidRPr="00F31B6B" w:rsidRDefault="007B2057" w:rsidP="007B2057">
            <w:pPr>
              <w:spacing w:after="0" w:line="240" w:lineRule="auto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 xml:space="preserve">Primary action by ADC 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5CCDF"/>
            <w:vAlign w:val="center"/>
            <w:hideMark/>
          </w:tcPr>
          <w:p w14:paraId="1E437CE4" w14:textId="77777777" w:rsidR="007B2057" w:rsidRPr="00F31B6B" w:rsidRDefault="007B2057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Number</w:t>
            </w:r>
          </w:p>
        </w:tc>
      </w:tr>
      <w:tr w:rsidR="007B2057" w:rsidRPr="00F31B6B" w14:paraId="0F9FABBC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  <w:hideMark/>
          </w:tcPr>
          <w:p w14:paraId="0C13E78F" w14:textId="77777777" w:rsidR="007B2057" w:rsidRPr="00F31B6B" w:rsidRDefault="007B2057" w:rsidP="009721C6">
            <w:pPr>
              <w:spacing w:after="0" w:line="240" w:lineRule="auto"/>
              <w:ind w:firstLineChars="10" w:firstLine="21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1.     Early intervention/resolution</w:t>
            </w:r>
            <w:r w:rsidR="001C13C6"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 xml:space="preserve"> (Helpline</w:t>
            </w:r>
            <w:r w:rsidR="002851D4"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 xml:space="preserve"> only</w:t>
            </w:r>
            <w:r w:rsidR="001C13C6"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</w:tcPr>
          <w:p w14:paraId="72A71A0F" w14:textId="1C187E47" w:rsidR="007B2057" w:rsidRPr="00F31B6B" w:rsidRDefault="00E508FE" w:rsidP="00887FC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3,62</w:t>
            </w:r>
            <w:r w:rsidR="003400F9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5</w:t>
            </w:r>
          </w:p>
        </w:tc>
      </w:tr>
      <w:tr w:rsidR="007B2057" w:rsidRPr="00F31B6B" w14:paraId="232E6BFF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0F8E" w14:textId="77777777" w:rsidR="007B2057" w:rsidRPr="00F31B6B" w:rsidRDefault="007B2057" w:rsidP="003D5C8E">
            <w:pPr>
              <w:spacing w:after="0" w:line="240" w:lineRule="auto"/>
              <w:ind w:firstLineChars="223" w:firstLine="468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a)    Assistance and support provided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DA6A2" w14:textId="4A928251" w:rsidR="007B2057" w:rsidRPr="00F31B6B" w:rsidRDefault="00253DF6" w:rsidP="009576E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3,234</w:t>
            </w:r>
          </w:p>
        </w:tc>
      </w:tr>
      <w:tr w:rsidR="007B2057" w:rsidRPr="00F31B6B" w14:paraId="5DB765C2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1D2A1" w14:textId="77777777" w:rsidR="007B2057" w:rsidRPr="00F31B6B" w:rsidRDefault="007B2057" w:rsidP="003D5C8E">
            <w:pPr>
              <w:spacing w:after="0" w:line="240" w:lineRule="auto"/>
              <w:ind w:firstLineChars="223" w:firstLine="468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b)    Referred externally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A3EC8" w14:textId="71A5B038" w:rsidR="007B2057" w:rsidRPr="00F31B6B" w:rsidRDefault="00253DF6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308</w:t>
            </w:r>
          </w:p>
        </w:tc>
      </w:tr>
      <w:tr w:rsidR="007B2057" w:rsidRPr="00F31B6B" w14:paraId="1455A1F9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79AEB" w14:textId="77777777" w:rsidR="007B2057" w:rsidRPr="00F31B6B" w:rsidRDefault="007B2057" w:rsidP="003D5C8E">
            <w:pPr>
              <w:spacing w:after="0" w:line="240" w:lineRule="auto"/>
              <w:ind w:firstLineChars="223" w:firstLine="468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c)     Early case coordination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F023D" w14:textId="7B9DF57F" w:rsidR="007B2057" w:rsidRPr="00F31B6B" w:rsidRDefault="00253DF6" w:rsidP="009576E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81</w:t>
            </w:r>
          </w:p>
        </w:tc>
      </w:tr>
      <w:tr w:rsidR="007B2057" w:rsidRPr="00F31B6B" w14:paraId="11F5B7FD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  <w:hideMark/>
          </w:tcPr>
          <w:p w14:paraId="34338FB2" w14:textId="77777777" w:rsidR="007B2057" w:rsidRPr="00F31B6B" w:rsidRDefault="007B2057" w:rsidP="009721C6">
            <w:pPr>
              <w:spacing w:after="0" w:line="240" w:lineRule="auto"/>
              <w:ind w:firstLineChars="10" w:firstLine="21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2.     Closed after preliminary inquiries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</w:tcPr>
          <w:p w14:paraId="391C6905" w14:textId="786E1574" w:rsidR="007B2057" w:rsidRPr="00F31B6B" w:rsidRDefault="00C51439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445</w:t>
            </w:r>
          </w:p>
        </w:tc>
      </w:tr>
      <w:tr w:rsidR="007B2057" w:rsidRPr="00F31B6B" w14:paraId="0BDD52D7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03037" w14:textId="77777777" w:rsidR="007B2057" w:rsidRPr="00F31B6B" w:rsidRDefault="007B2057" w:rsidP="003D5C8E">
            <w:pPr>
              <w:spacing w:after="0" w:line="240" w:lineRule="auto"/>
              <w:ind w:firstLineChars="223" w:firstLine="468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a)     Appropriate actions underway to address/manage risks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67684" w14:textId="7CFAC456" w:rsidR="007B2057" w:rsidRPr="00F31B6B" w:rsidRDefault="00C51439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278</w:t>
            </w:r>
          </w:p>
        </w:tc>
      </w:tr>
      <w:tr w:rsidR="007B2057" w:rsidRPr="00F31B6B" w14:paraId="3ACC58E8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FAE03" w14:textId="77777777" w:rsidR="007B2057" w:rsidRPr="00F31B6B" w:rsidRDefault="007B2057" w:rsidP="003D5C8E">
            <w:pPr>
              <w:spacing w:after="0" w:line="240" w:lineRule="auto"/>
              <w:ind w:firstLineChars="223" w:firstLine="468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b)     No or low risk identified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393DE" w14:textId="293FBC4C" w:rsidR="007B2057" w:rsidRPr="00F31B6B" w:rsidRDefault="00C51439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129</w:t>
            </w:r>
          </w:p>
        </w:tc>
      </w:tr>
      <w:tr w:rsidR="007B2057" w:rsidRPr="00F31B6B" w14:paraId="7C1E1664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B8B08" w14:textId="77777777" w:rsidR="007B2057" w:rsidRPr="00F31B6B" w:rsidRDefault="007B2057" w:rsidP="003D5C8E">
            <w:pPr>
              <w:spacing w:after="0" w:line="240" w:lineRule="auto"/>
              <w:ind w:firstLineChars="223" w:firstLine="468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c)     Person has capacity and refused investigation/involvement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18813" w14:textId="4EFC1638" w:rsidR="007B2057" w:rsidRPr="00F31B6B" w:rsidRDefault="00C51439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38</w:t>
            </w:r>
          </w:p>
        </w:tc>
      </w:tr>
      <w:tr w:rsidR="007B2057" w:rsidRPr="00F31B6B" w14:paraId="7AF8058C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  <w:hideMark/>
          </w:tcPr>
          <w:p w14:paraId="294E0433" w14:textId="77777777" w:rsidR="007B2057" w:rsidRPr="00F31B6B" w:rsidRDefault="007B2057" w:rsidP="009721C6">
            <w:pPr>
              <w:spacing w:after="0" w:line="240" w:lineRule="auto"/>
              <w:ind w:firstLineChars="10" w:firstLine="21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3.     Community supports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</w:tcPr>
          <w:p w14:paraId="3103D465" w14:textId="26ABAE33" w:rsidR="007B2057" w:rsidRPr="00F31B6B" w:rsidRDefault="00FE16EF" w:rsidP="009576E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220</w:t>
            </w:r>
          </w:p>
        </w:tc>
      </w:tr>
      <w:tr w:rsidR="007B2057" w:rsidRPr="00F31B6B" w14:paraId="2A835BB7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9CA6B" w14:textId="47DBE752" w:rsidR="007B2057" w:rsidRPr="00F31B6B" w:rsidRDefault="007B2057" w:rsidP="003D5C8E">
            <w:pPr>
              <w:spacing w:after="0" w:line="240" w:lineRule="auto"/>
              <w:ind w:firstLineChars="223" w:firstLine="468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a)     </w:t>
            </w:r>
            <w:r w:rsidR="001B461D"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Risk identified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D71667" w14:textId="35E99098" w:rsidR="007B2057" w:rsidRPr="00F31B6B" w:rsidRDefault="002B66A6" w:rsidP="009576E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156</w:t>
            </w:r>
          </w:p>
        </w:tc>
      </w:tr>
      <w:tr w:rsidR="007B2057" w:rsidRPr="00F31B6B" w14:paraId="1230B73F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23D59" w14:textId="77777777" w:rsidR="007B2057" w:rsidRPr="00F31B6B" w:rsidRDefault="007B2057" w:rsidP="003D5C8E">
            <w:pPr>
              <w:spacing w:after="0" w:line="240" w:lineRule="auto"/>
              <w:ind w:firstLineChars="223" w:firstLine="468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b)     </w:t>
            </w:r>
            <w:r w:rsidR="001B461D"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No or low risk identified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D825D9" w14:textId="3B904AF6" w:rsidR="007B2057" w:rsidRPr="00F31B6B" w:rsidRDefault="002B66A6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64</w:t>
            </w:r>
          </w:p>
        </w:tc>
      </w:tr>
      <w:tr w:rsidR="005D260D" w:rsidRPr="00F31B6B" w14:paraId="1B2A7827" w14:textId="77777777" w:rsidTr="00F50524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</w:tcPr>
          <w:p w14:paraId="0929FB94" w14:textId="6D5B6E14" w:rsidR="005D260D" w:rsidRPr="00F31B6B" w:rsidRDefault="005D260D" w:rsidP="00F50524">
            <w:pPr>
              <w:spacing w:after="0" w:line="240" w:lineRule="auto"/>
              <w:ind w:firstLineChars="10" w:firstLine="21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4.     Consolidated into another matter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</w:tcPr>
          <w:p w14:paraId="2AA51BDB" w14:textId="50EA563E" w:rsidR="005D260D" w:rsidRPr="00F31B6B" w:rsidRDefault="005D260D" w:rsidP="00F50524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183</w:t>
            </w:r>
          </w:p>
        </w:tc>
      </w:tr>
      <w:tr w:rsidR="007B2057" w:rsidRPr="00F31B6B" w14:paraId="55D438D4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  <w:hideMark/>
          </w:tcPr>
          <w:p w14:paraId="3AB1ECF4" w14:textId="370425A5" w:rsidR="007B2057" w:rsidRPr="00F31B6B" w:rsidRDefault="002E4A2E" w:rsidP="009721C6">
            <w:pPr>
              <w:spacing w:after="0" w:line="240" w:lineRule="auto"/>
              <w:ind w:firstLineChars="10" w:firstLine="21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5</w:t>
            </w:r>
            <w:r w:rsidR="007B2057"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.    </w:t>
            </w:r>
            <w:r w:rsidR="009721C6"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7B2057"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Declined at outset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</w:tcPr>
          <w:p w14:paraId="56DC2069" w14:textId="4E372F54" w:rsidR="007B2057" w:rsidRPr="00F31B6B" w:rsidRDefault="004C00CB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89</w:t>
            </w:r>
          </w:p>
        </w:tc>
      </w:tr>
      <w:tr w:rsidR="007B2057" w:rsidRPr="00F31B6B" w14:paraId="1987113B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5114E" w14:textId="77777777" w:rsidR="007B2057" w:rsidRPr="00F31B6B" w:rsidRDefault="007B2057" w:rsidP="003D5C8E">
            <w:pPr>
              <w:spacing w:after="0" w:line="240" w:lineRule="auto"/>
              <w:ind w:firstLineChars="223" w:firstLine="468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a)     Insufficient details to progress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5B393" w14:textId="780D59DF" w:rsidR="007B2057" w:rsidRPr="00F31B6B" w:rsidRDefault="00A662DD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77</w:t>
            </w:r>
          </w:p>
        </w:tc>
      </w:tr>
      <w:tr w:rsidR="007B2057" w:rsidRPr="00F31B6B" w14:paraId="76F667A7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CBD9A" w14:textId="77777777" w:rsidR="007B2057" w:rsidRPr="00F31B6B" w:rsidRDefault="007B2057" w:rsidP="007B2057">
            <w:pPr>
              <w:spacing w:after="0" w:line="240" w:lineRule="auto"/>
              <w:ind w:firstLineChars="223" w:firstLine="468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b)     Premature/ actions underway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2AD7E" w14:textId="2ED00DFC" w:rsidR="007B2057" w:rsidRPr="00F31B6B" w:rsidRDefault="004C00CB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12</w:t>
            </w:r>
          </w:p>
        </w:tc>
      </w:tr>
      <w:tr w:rsidR="007B2057" w:rsidRPr="00F31B6B" w14:paraId="08DA4D84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  <w:hideMark/>
          </w:tcPr>
          <w:p w14:paraId="6322DC41" w14:textId="38106278" w:rsidR="007B2057" w:rsidRPr="00F31B6B" w:rsidRDefault="00692E2D" w:rsidP="002774D4">
            <w:pPr>
              <w:spacing w:after="0" w:line="240" w:lineRule="auto"/>
              <w:ind w:firstLineChars="10" w:firstLine="21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6</w:t>
            </w:r>
            <w:r w:rsidR="007B2057"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.    </w:t>
            </w:r>
            <w:r w:rsidR="00FC387E"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7B2057"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Investigation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</w:tcPr>
          <w:p w14:paraId="4B68A6F8" w14:textId="3FA8AFE7" w:rsidR="007B2057" w:rsidRPr="00F31B6B" w:rsidRDefault="00BB4690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77</w:t>
            </w:r>
          </w:p>
        </w:tc>
      </w:tr>
      <w:tr w:rsidR="00F878F2" w:rsidRPr="00F31B6B" w14:paraId="0BDA114F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C7721" w14:textId="45710523" w:rsidR="00F878F2" w:rsidRPr="00F31B6B" w:rsidRDefault="003D5C8E" w:rsidP="0089443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894434"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 xml:space="preserve">Risk identified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D2ECFA" w14:textId="55B5109E" w:rsidR="00F878F2" w:rsidRPr="00F31B6B" w:rsidRDefault="00BB4690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65</w:t>
            </w:r>
          </w:p>
        </w:tc>
      </w:tr>
      <w:tr w:rsidR="007B2057" w:rsidRPr="00F31B6B" w14:paraId="1319EF7A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6B90C" w14:textId="77777777" w:rsidR="007B2057" w:rsidRPr="00F31B6B" w:rsidRDefault="00894434" w:rsidP="002976C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No/low risk identified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5E7CA" w14:textId="79EAEE7B" w:rsidR="007B2057" w:rsidRPr="00F31B6B" w:rsidRDefault="00BB4690" w:rsidP="007B2057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color w:val="000000"/>
                <w:sz w:val="21"/>
                <w:szCs w:val="21"/>
                <w:lang w:eastAsia="en-AU"/>
              </w:rPr>
              <w:t>12</w:t>
            </w:r>
          </w:p>
        </w:tc>
      </w:tr>
      <w:tr w:rsidR="00613890" w:rsidRPr="00F31B6B" w14:paraId="08976396" w14:textId="77777777" w:rsidTr="003643AB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</w:tcPr>
          <w:p w14:paraId="7FF62D97" w14:textId="58121550" w:rsidR="00613890" w:rsidRPr="00F31B6B" w:rsidRDefault="00613890" w:rsidP="00613890">
            <w:pPr>
              <w:spacing w:after="0" w:line="240" w:lineRule="auto"/>
              <w:ind w:firstLineChars="10" w:firstLine="21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7.     Referred to other body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</w:tcPr>
          <w:p w14:paraId="223FE741" w14:textId="02E8EB4E" w:rsidR="00613890" w:rsidRPr="00F31B6B" w:rsidRDefault="00474290" w:rsidP="0061389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29</w:t>
            </w:r>
          </w:p>
        </w:tc>
      </w:tr>
      <w:tr w:rsidR="00613890" w:rsidRPr="00F31B6B" w14:paraId="429604C9" w14:textId="77777777" w:rsidTr="003643AB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</w:tcPr>
          <w:p w14:paraId="04DE758A" w14:textId="4342B137" w:rsidR="00613890" w:rsidRPr="00F31B6B" w:rsidRDefault="00692E2D" w:rsidP="00613890">
            <w:pPr>
              <w:spacing w:after="0" w:line="240" w:lineRule="auto"/>
              <w:ind w:firstLineChars="10" w:firstLine="21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8</w:t>
            </w:r>
            <w:r w:rsidR="00613890"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.     Referred to Police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CF3"/>
            <w:noWrap/>
            <w:vAlign w:val="center"/>
          </w:tcPr>
          <w:p w14:paraId="654FD472" w14:textId="5463405B" w:rsidR="00613890" w:rsidRPr="00F31B6B" w:rsidRDefault="00474290" w:rsidP="0061389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19</w:t>
            </w:r>
          </w:p>
        </w:tc>
      </w:tr>
      <w:tr w:rsidR="00613890" w:rsidRPr="00F31B6B" w14:paraId="2FD93DBD" w14:textId="77777777" w:rsidTr="00A35C17">
        <w:trPr>
          <w:trHeight w:val="315"/>
        </w:trPr>
        <w:tc>
          <w:tcPr>
            <w:tcW w:w="42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CDF"/>
            <w:noWrap/>
            <w:vAlign w:val="center"/>
            <w:hideMark/>
          </w:tcPr>
          <w:p w14:paraId="0143EA1D" w14:textId="77777777" w:rsidR="00613890" w:rsidRPr="00F31B6B" w:rsidRDefault="00613890" w:rsidP="00613890">
            <w:pPr>
              <w:spacing w:after="0" w:line="240" w:lineRule="auto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Total closed reports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CCDF"/>
            <w:noWrap/>
            <w:vAlign w:val="center"/>
            <w:hideMark/>
          </w:tcPr>
          <w:p w14:paraId="25790C4A" w14:textId="41D0B3C5" w:rsidR="00613890" w:rsidRPr="00F31B6B" w:rsidRDefault="00613890" w:rsidP="00613890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4,</w:t>
            </w:r>
            <w:r w:rsidR="006B3FCE" w:rsidRPr="00F31B6B">
              <w:rPr>
                <w:rFonts w:ascii="Public Sans" w:eastAsia="Times New Roman" w:hAnsi="Public Sans" w:cs="Times New Roman"/>
                <w:b/>
                <w:bCs/>
                <w:color w:val="000000"/>
                <w:sz w:val="21"/>
                <w:szCs w:val="21"/>
                <w:lang w:eastAsia="en-AU"/>
              </w:rPr>
              <w:t>687</w:t>
            </w:r>
          </w:p>
        </w:tc>
      </w:tr>
    </w:tbl>
    <w:p w14:paraId="7D4DEB25" w14:textId="77777777" w:rsidR="001C3F32" w:rsidRPr="00F31B6B" w:rsidRDefault="00463D6D" w:rsidP="00505954">
      <w:pPr>
        <w:pStyle w:val="Heading2"/>
        <w:spacing w:before="240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 xml:space="preserve">6.2 </w:t>
      </w:r>
      <w:r w:rsidRPr="00F31B6B">
        <w:rPr>
          <w:rFonts w:ascii="Public Sans" w:hAnsi="Public Sans"/>
          <w:b/>
        </w:rPr>
        <w:tab/>
        <w:t>Person outcomes</w:t>
      </w:r>
    </w:p>
    <w:p w14:paraId="3142DD9B" w14:textId="1ED3DD26" w:rsidR="004D68DC" w:rsidRPr="00F31B6B" w:rsidRDefault="004D68DC" w:rsidP="004D68DC">
      <w:pPr>
        <w:pStyle w:val="Body"/>
        <w:widowControl w:val="0"/>
        <w:spacing w:before="120" w:after="0" w:line="240" w:lineRule="auto"/>
        <w:rPr>
          <w:rFonts w:ascii="Public Sans" w:hAnsi="Public Sans" w:cs="Segoe UI"/>
        </w:rPr>
      </w:pPr>
      <w:r w:rsidRPr="00F31B6B">
        <w:rPr>
          <w:rFonts w:ascii="Public Sans" w:hAnsi="Public Sans" w:cs="Segoe UI"/>
        </w:rPr>
        <w:t xml:space="preserve">In </w:t>
      </w:r>
      <w:bookmarkStart w:id="1" w:name="_Hlk63088525"/>
      <w:r w:rsidRPr="00F31B6B">
        <w:rPr>
          <w:rFonts w:ascii="Public Sans" w:hAnsi="Public Sans" w:cs="Segoe UI"/>
        </w:rPr>
        <w:t xml:space="preserve">relation to the </w:t>
      </w:r>
      <w:r w:rsidR="009E2E8E" w:rsidRPr="00F31B6B">
        <w:rPr>
          <w:rFonts w:ascii="Public Sans" w:hAnsi="Public Sans" w:cs="Segoe UI"/>
        </w:rPr>
        <w:t>4</w:t>
      </w:r>
      <w:r w:rsidR="0036382E" w:rsidRPr="00F31B6B">
        <w:rPr>
          <w:rFonts w:ascii="Public Sans" w:hAnsi="Public Sans" w:cs="Segoe UI"/>
        </w:rPr>
        <w:t>,</w:t>
      </w:r>
      <w:r w:rsidR="0025158E" w:rsidRPr="00F31B6B">
        <w:rPr>
          <w:rFonts w:ascii="Public Sans" w:hAnsi="Public Sans" w:cs="Segoe UI"/>
        </w:rPr>
        <w:t>687</w:t>
      </w:r>
      <w:r w:rsidR="0036382E" w:rsidRPr="00F31B6B">
        <w:rPr>
          <w:rFonts w:ascii="Public Sans" w:hAnsi="Public Sans" w:cs="Segoe UI"/>
        </w:rPr>
        <w:t xml:space="preserve"> </w:t>
      </w:r>
      <w:r w:rsidRPr="00F31B6B">
        <w:rPr>
          <w:rFonts w:ascii="Public Sans" w:hAnsi="Public Sans" w:cs="Segoe UI"/>
        </w:rPr>
        <w:t xml:space="preserve">reports closed in </w:t>
      </w:r>
      <w:bookmarkStart w:id="2" w:name="_Hlk63087189"/>
      <w:r w:rsidR="0036382E" w:rsidRPr="00F31B6B">
        <w:rPr>
          <w:rFonts w:ascii="Public Sans" w:hAnsi="Public Sans" w:cs="Segoe UI"/>
        </w:rPr>
        <w:t>202</w:t>
      </w:r>
      <w:r w:rsidR="0025158E" w:rsidRPr="00F31B6B">
        <w:rPr>
          <w:rFonts w:ascii="Public Sans" w:hAnsi="Public Sans" w:cs="Segoe UI"/>
        </w:rPr>
        <w:t>3</w:t>
      </w:r>
      <w:r w:rsidR="0036382E" w:rsidRPr="00F31B6B">
        <w:rPr>
          <w:rFonts w:ascii="Public Sans" w:hAnsi="Public Sans" w:cs="Segoe UI"/>
        </w:rPr>
        <w:t>-2</w:t>
      </w:r>
      <w:bookmarkEnd w:id="2"/>
      <w:r w:rsidR="0025158E" w:rsidRPr="00F31B6B">
        <w:rPr>
          <w:rFonts w:ascii="Public Sans" w:hAnsi="Public Sans" w:cs="Segoe UI"/>
        </w:rPr>
        <w:t>4</w:t>
      </w:r>
      <w:r w:rsidRPr="00F31B6B">
        <w:rPr>
          <w:rFonts w:ascii="Public Sans" w:hAnsi="Public Sans" w:cs="Segoe UI"/>
        </w:rPr>
        <w:t>,</w:t>
      </w:r>
      <w:bookmarkEnd w:id="1"/>
      <w:r w:rsidRPr="00F31B6B">
        <w:rPr>
          <w:rFonts w:ascii="Public Sans" w:hAnsi="Public Sans" w:cs="Segoe UI"/>
        </w:rPr>
        <w:t xml:space="preserve"> key outcomes for the older people and adults with disability included that their views and wishes were ascertained and respected; </w:t>
      </w:r>
      <w:r w:rsidR="008B2249" w:rsidRPr="00F31B6B">
        <w:rPr>
          <w:rFonts w:ascii="Public Sans" w:hAnsi="Public Sans" w:cs="Segoe UI"/>
        </w:rPr>
        <w:t xml:space="preserve">and </w:t>
      </w:r>
      <w:r w:rsidR="000E16B8" w:rsidRPr="00F31B6B">
        <w:rPr>
          <w:rFonts w:ascii="Public Sans" w:hAnsi="Public Sans" w:cs="Segoe UI"/>
        </w:rPr>
        <w:t xml:space="preserve">they were </w:t>
      </w:r>
      <w:r w:rsidRPr="00F31B6B">
        <w:rPr>
          <w:rFonts w:ascii="Public Sans" w:hAnsi="Public Sans" w:cs="Segoe UI"/>
        </w:rPr>
        <w:t>a</w:t>
      </w:r>
      <w:r w:rsidR="007A2402" w:rsidRPr="00F31B6B">
        <w:rPr>
          <w:rFonts w:ascii="Public Sans" w:hAnsi="Public Sans" w:cs="Segoe UI"/>
        </w:rPr>
        <w:t>ssist</w:t>
      </w:r>
      <w:r w:rsidR="000E16B8" w:rsidRPr="00F31B6B">
        <w:rPr>
          <w:rFonts w:ascii="Public Sans" w:hAnsi="Public Sans" w:cs="Segoe UI"/>
        </w:rPr>
        <w:t>ed to access and receive increased</w:t>
      </w:r>
      <w:r w:rsidR="007A2402" w:rsidRPr="00F31B6B">
        <w:rPr>
          <w:rFonts w:ascii="Public Sans" w:hAnsi="Public Sans" w:cs="Segoe UI"/>
        </w:rPr>
        <w:t xml:space="preserve"> aged care</w:t>
      </w:r>
      <w:r w:rsidR="008B2249" w:rsidRPr="00F31B6B">
        <w:rPr>
          <w:rFonts w:ascii="Public Sans" w:hAnsi="Public Sans" w:cs="Segoe UI"/>
        </w:rPr>
        <w:t xml:space="preserve">, disability and legal </w:t>
      </w:r>
      <w:r w:rsidR="007A2402" w:rsidRPr="00F31B6B">
        <w:rPr>
          <w:rFonts w:ascii="Public Sans" w:hAnsi="Public Sans" w:cs="Segoe UI"/>
        </w:rPr>
        <w:t>supports</w:t>
      </w:r>
      <w:r w:rsidR="00421F21" w:rsidRPr="00F31B6B">
        <w:rPr>
          <w:rFonts w:ascii="Public Sans" w:hAnsi="Public Sans" w:cs="Segoe UI"/>
        </w:rPr>
        <w:t>.</w:t>
      </w:r>
      <w:r w:rsidRPr="00F31B6B">
        <w:rPr>
          <w:rFonts w:ascii="Public Sans" w:hAnsi="Public Sans" w:cs="Segoe UI"/>
        </w:rPr>
        <w:t xml:space="preserve"> </w:t>
      </w:r>
    </w:p>
    <w:p w14:paraId="6D3C6430" w14:textId="77777777" w:rsidR="007A2402" w:rsidRPr="00F31B6B" w:rsidRDefault="007A2402" w:rsidP="008B2249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14:paraId="40DC8052" w14:textId="3C157243" w:rsidR="00954077" w:rsidRPr="00F31B6B" w:rsidRDefault="00954077" w:rsidP="00D4511E">
      <w:pPr>
        <w:spacing w:after="0" w:line="240" w:lineRule="auto"/>
        <w:rPr>
          <w:rFonts w:ascii="Public Sans" w:hAnsi="Public Sans"/>
          <w:b/>
          <w:sz w:val="18"/>
        </w:rPr>
      </w:pPr>
      <w:r w:rsidRPr="00F31B6B">
        <w:rPr>
          <w:rFonts w:ascii="Public Sans" w:hAnsi="Public Sans"/>
          <w:b/>
          <w:sz w:val="18"/>
        </w:rPr>
        <w:t xml:space="preserve">Table </w:t>
      </w:r>
      <w:r w:rsidR="00CF7837" w:rsidRPr="00F31B6B">
        <w:rPr>
          <w:rFonts w:ascii="Public Sans" w:hAnsi="Public Sans"/>
          <w:b/>
          <w:sz w:val="18"/>
        </w:rPr>
        <w:t>10</w:t>
      </w:r>
      <w:r w:rsidRPr="00F31B6B">
        <w:rPr>
          <w:rFonts w:ascii="Public Sans" w:hAnsi="Public Sans"/>
          <w:b/>
          <w:sz w:val="18"/>
        </w:rPr>
        <w:t xml:space="preserve">: </w:t>
      </w:r>
      <w:r w:rsidR="00AF7B64" w:rsidRPr="00F31B6B">
        <w:rPr>
          <w:rFonts w:ascii="Public Sans" w:hAnsi="Public Sans"/>
          <w:b/>
          <w:sz w:val="18"/>
        </w:rPr>
        <w:t xml:space="preserve">Leading </w:t>
      </w:r>
      <w:r w:rsidRPr="00F31B6B">
        <w:rPr>
          <w:rFonts w:ascii="Public Sans" w:hAnsi="Public Sans"/>
          <w:b/>
          <w:sz w:val="18"/>
        </w:rPr>
        <w:t>outcomes</w:t>
      </w:r>
      <w:r w:rsidR="00AF7B64" w:rsidRPr="00F31B6B">
        <w:rPr>
          <w:rFonts w:ascii="Public Sans" w:hAnsi="Public Sans"/>
          <w:b/>
          <w:sz w:val="18"/>
        </w:rPr>
        <w:t xml:space="preserve"> for </w:t>
      </w:r>
      <w:r w:rsidR="00584DA4" w:rsidRPr="00F31B6B">
        <w:rPr>
          <w:rFonts w:ascii="Public Sans" w:hAnsi="Public Sans"/>
          <w:b/>
          <w:sz w:val="18"/>
        </w:rPr>
        <w:t>the p</w:t>
      </w:r>
      <w:r w:rsidR="00AF7B64" w:rsidRPr="00F31B6B">
        <w:rPr>
          <w:rFonts w:ascii="Public Sans" w:hAnsi="Public Sans"/>
          <w:b/>
          <w:sz w:val="18"/>
        </w:rPr>
        <w:t>erson the subject of a report to the ADC</w:t>
      </w:r>
      <w:r w:rsidRPr="00F31B6B">
        <w:rPr>
          <w:rFonts w:ascii="Public Sans" w:hAnsi="Public Sans"/>
          <w:b/>
          <w:sz w:val="18"/>
        </w:rPr>
        <w:t xml:space="preserve">, reports </w:t>
      </w:r>
      <w:r w:rsidR="0066276A" w:rsidRPr="00F31B6B">
        <w:rPr>
          <w:rFonts w:ascii="Public Sans" w:hAnsi="Public Sans"/>
          <w:b/>
          <w:sz w:val="18"/>
        </w:rPr>
        <w:t xml:space="preserve">closed </w:t>
      </w:r>
      <w:r w:rsidR="0036382E" w:rsidRPr="00F31B6B">
        <w:rPr>
          <w:rFonts w:ascii="Public Sans" w:hAnsi="Public Sans"/>
          <w:b/>
          <w:sz w:val="18"/>
        </w:rPr>
        <w:t>202</w:t>
      </w:r>
      <w:r w:rsidR="00EF361C" w:rsidRPr="00F31B6B">
        <w:rPr>
          <w:rFonts w:ascii="Public Sans" w:hAnsi="Public Sans"/>
          <w:b/>
          <w:sz w:val="18"/>
        </w:rPr>
        <w:t>3</w:t>
      </w:r>
      <w:r w:rsidR="0036382E" w:rsidRPr="00F31B6B">
        <w:rPr>
          <w:rFonts w:ascii="Public Sans" w:hAnsi="Public Sans"/>
          <w:b/>
          <w:sz w:val="18"/>
        </w:rPr>
        <w:t>-</w:t>
      </w:r>
      <w:r w:rsidR="005A1391" w:rsidRPr="00F31B6B">
        <w:rPr>
          <w:rFonts w:ascii="Public Sans" w:hAnsi="Public Sans"/>
          <w:b/>
          <w:sz w:val="18"/>
        </w:rPr>
        <w:t>2</w:t>
      </w:r>
      <w:r w:rsidR="00EF361C" w:rsidRPr="00F31B6B">
        <w:rPr>
          <w:rFonts w:ascii="Public Sans" w:hAnsi="Public Sans"/>
          <w:b/>
          <w:sz w:val="18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30"/>
        <w:gridCol w:w="2572"/>
      </w:tblGrid>
      <w:tr w:rsidR="007A2402" w:rsidRPr="00F31B6B" w14:paraId="5E06AA63" w14:textId="77777777" w:rsidTr="00A35C17">
        <w:trPr>
          <w:trHeight w:val="421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CDF"/>
            <w:vAlign w:val="bottom"/>
            <w:hideMark/>
          </w:tcPr>
          <w:p w14:paraId="66339F6E" w14:textId="77777777" w:rsidR="007A2402" w:rsidRPr="00F31B6B" w:rsidRDefault="007A2402" w:rsidP="007A2402">
            <w:pPr>
              <w:spacing w:after="0" w:line="240" w:lineRule="auto"/>
              <w:rPr>
                <w:rFonts w:ascii="Public Sans" w:eastAsia="Times New Roman" w:hAnsi="Public Sans" w:cs="Times New Roman"/>
                <w:b/>
                <w:bCs/>
                <w:color w:val="000000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lang w:eastAsia="en-AU"/>
              </w:rPr>
              <w:t>Person outcomes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CDF"/>
            <w:vAlign w:val="bottom"/>
            <w:hideMark/>
          </w:tcPr>
          <w:p w14:paraId="65783067" w14:textId="77777777" w:rsidR="007A2402" w:rsidRPr="00F31B6B" w:rsidRDefault="007A2402" w:rsidP="007449DA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b/>
                <w:bCs/>
                <w:color w:val="000000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lang w:eastAsia="en-AU"/>
              </w:rPr>
              <w:t>Number of cases</w:t>
            </w:r>
            <w:r w:rsidRPr="00F31B6B">
              <w:rPr>
                <w:rStyle w:val="FootnoteReference"/>
                <w:rFonts w:ascii="Public Sans" w:eastAsia="Times New Roman" w:hAnsi="Public Sans"/>
                <w:b/>
                <w:bCs/>
                <w:color w:val="000000"/>
                <w:sz w:val="21"/>
                <w:szCs w:val="21"/>
                <w:lang w:eastAsia="en-AU"/>
              </w:rPr>
              <w:footnoteReference w:id="6"/>
            </w:r>
          </w:p>
        </w:tc>
      </w:tr>
      <w:tr w:rsidR="0060733D" w:rsidRPr="00F31B6B" w14:paraId="7DEBCA51" w14:textId="77777777" w:rsidTr="00A90462">
        <w:trPr>
          <w:trHeight w:val="315"/>
        </w:trPr>
        <w:tc>
          <w:tcPr>
            <w:tcW w:w="36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8F7A" w14:textId="0BE5361A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Will and preference of Person ascertained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40A4C" w14:textId="43996B01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575</w:t>
            </w:r>
          </w:p>
        </w:tc>
      </w:tr>
      <w:tr w:rsidR="0060733D" w:rsidRPr="00F31B6B" w14:paraId="001317AC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74EB" w14:textId="0BA30426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Will and preference of Person respected/upheld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B4000" w14:textId="25F86258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549</w:t>
            </w:r>
          </w:p>
        </w:tc>
      </w:tr>
      <w:tr w:rsidR="0060733D" w:rsidRPr="00F31B6B" w14:paraId="434CACB5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C286" w14:textId="1F16D0B8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Referral/help to access aged care supports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5692DA" w14:textId="659D422E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85</w:t>
            </w:r>
          </w:p>
        </w:tc>
      </w:tr>
      <w:tr w:rsidR="0060733D" w:rsidRPr="00F31B6B" w14:paraId="4F28891D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6ACD" w14:textId="0374DFB4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Referral/help to access legal support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02C84" w14:textId="3D26A214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74</w:t>
            </w:r>
          </w:p>
        </w:tc>
      </w:tr>
      <w:tr w:rsidR="0060733D" w:rsidRPr="00F31B6B" w14:paraId="2149709B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EA1C" w14:textId="30CFA64B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Other supports/services provided/increased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22670" w14:textId="7DE67049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62</w:t>
            </w:r>
          </w:p>
        </w:tc>
      </w:tr>
      <w:tr w:rsidR="0060733D" w:rsidRPr="00F31B6B" w14:paraId="73173670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9C97" w14:textId="0A9FF064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Change in accommodation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0FBC3" w14:textId="0A232897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49</w:t>
            </w:r>
          </w:p>
        </w:tc>
      </w:tr>
      <w:tr w:rsidR="0060733D" w:rsidRPr="00F31B6B" w14:paraId="1CA47596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5548" w14:textId="7A667992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Review/assessment of aged care supports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488E5" w14:textId="2A9EEC0C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46</w:t>
            </w:r>
          </w:p>
        </w:tc>
      </w:tr>
      <w:tr w:rsidR="0060733D" w:rsidRPr="00F31B6B" w14:paraId="77B33B11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BE67" w14:textId="76486729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Referral/help to access advocacy supports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8571F" w14:textId="7258D86B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45</w:t>
            </w:r>
          </w:p>
        </w:tc>
      </w:tr>
      <w:tr w:rsidR="0060733D" w:rsidRPr="00F31B6B" w14:paraId="7FAEA710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F037" w14:textId="49233F22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Referral/help to access other supports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53D55" w14:textId="0C86B80E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43</w:t>
            </w:r>
          </w:p>
        </w:tc>
      </w:tr>
      <w:tr w:rsidR="0060733D" w:rsidRPr="00F31B6B" w14:paraId="41F6875B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1210" w14:textId="36F2C844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lastRenderedPageBreak/>
              <w:t>Aged care support provided/increased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DD665" w14:textId="79D2DE30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43</w:t>
            </w:r>
          </w:p>
        </w:tc>
      </w:tr>
      <w:tr w:rsidR="0060733D" w:rsidRPr="00F31B6B" w14:paraId="333725C5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7D69" w14:textId="678ADC7F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Review/assessment of disability supports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DEE655" w14:textId="2AA4A7AF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39</w:t>
            </w:r>
          </w:p>
        </w:tc>
      </w:tr>
      <w:tr w:rsidR="0060733D" w:rsidRPr="00F31B6B" w14:paraId="7CC51607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B6B4" w14:textId="68879C1E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Other police/justice action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E03D0" w14:textId="1B9E10A2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30</w:t>
            </w:r>
          </w:p>
        </w:tc>
      </w:tr>
      <w:tr w:rsidR="0060733D" w:rsidRPr="00F31B6B" w14:paraId="68C8803F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1815" w14:textId="459D298A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bookmarkStart w:id="3" w:name="RANGE!B128"/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Disability support provided/increased</w:t>
            </w:r>
            <w:bookmarkEnd w:id="3"/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7BC1C" w14:textId="39AC6041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30</w:t>
            </w:r>
          </w:p>
        </w:tc>
      </w:tr>
      <w:tr w:rsidR="0060733D" w:rsidRPr="00F31B6B" w14:paraId="006688B3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D750" w14:textId="78F4434D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Referral/help to access health services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CFD85" w14:textId="5E6F130F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27</w:t>
            </w:r>
          </w:p>
        </w:tc>
      </w:tr>
      <w:tr w:rsidR="0060733D" w:rsidRPr="00F31B6B" w14:paraId="0194D25A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E309" w14:textId="0546D1DB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Guardianship application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0D053" w14:textId="15A492D2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27</w:t>
            </w:r>
          </w:p>
        </w:tc>
      </w:tr>
      <w:tr w:rsidR="0060733D" w:rsidRPr="00F31B6B" w14:paraId="6C560457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8423" w14:textId="73761EEF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Reduced/addressed social isolation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80A76" w14:textId="77C4C3F2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26</w:t>
            </w:r>
          </w:p>
        </w:tc>
      </w:tr>
      <w:tr w:rsidR="0060733D" w:rsidRPr="00F31B6B" w14:paraId="5BCDD10F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75A4" w14:textId="15F6460F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Review/assessment of decision-making capacity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AEE1E" w14:textId="751EAD07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25</w:t>
            </w:r>
          </w:p>
        </w:tc>
      </w:tr>
      <w:tr w:rsidR="0060733D" w:rsidRPr="00F31B6B" w14:paraId="12BAA395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1654" w14:textId="33B7F81A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Referral/help to access disability supports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73AE1" w14:textId="60700FF1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25</w:t>
            </w:r>
          </w:p>
        </w:tc>
      </w:tr>
      <w:tr w:rsidR="0060733D" w:rsidRPr="00F31B6B" w14:paraId="050B09EE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4D71" w14:textId="67DD0A9F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Review/assessment of health/medical needs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1B860" w14:textId="217FFA28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24</w:t>
            </w:r>
          </w:p>
        </w:tc>
      </w:tr>
      <w:tr w:rsidR="0060733D" w:rsidRPr="00F31B6B" w14:paraId="637B7DF9" w14:textId="77777777" w:rsidTr="00A90462">
        <w:trPr>
          <w:trHeight w:val="315"/>
        </w:trPr>
        <w:tc>
          <w:tcPr>
            <w:tcW w:w="363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894C7" w14:textId="06E96B8C" w:rsidR="0060733D" w:rsidRPr="00F31B6B" w:rsidRDefault="0060733D" w:rsidP="0060733D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Financial management application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05B4C" w14:textId="0E1FFA64" w:rsidR="0060733D" w:rsidRPr="00F31B6B" w:rsidRDefault="0060733D" w:rsidP="0060733D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24</w:t>
            </w:r>
          </w:p>
        </w:tc>
      </w:tr>
    </w:tbl>
    <w:p w14:paraId="139CB3F8" w14:textId="77777777" w:rsidR="007A2402" w:rsidRPr="00F31B6B" w:rsidRDefault="007A2402" w:rsidP="00954077">
      <w:pPr>
        <w:rPr>
          <w:rFonts w:ascii="Public Sans" w:hAnsi="Public Sans"/>
        </w:rPr>
      </w:pPr>
    </w:p>
    <w:p w14:paraId="7DB0E3E4" w14:textId="77777777" w:rsidR="00463D6D" w:rsidRPr="00F31B6B" w:rsidRDefault="004D68DC" w:rsidP="00463D6D">
      <w:pPr>
        <w:pStyle w:val="Heading2"/>
        <w:rPr>
          <w:rFonts w:ascii="Public Sans" w:hAnsi="Public Sans"/>
          <w:b/>
        </w:rPr>
      </w:pPr>
      <w:r w:rsidRPr="00F31B6B">
        <w:rPr>
          <w:rFonts w:ascii="Public Sans" w:hAnsi="Public Sans"/>
          <w:b/>
        </w:rPr>
        <w:t>6.3</w:t>
      </w:r>
      <w:r w:rsidRPr="00F31B6B">
        <w:rPr>
          <w:rFonts w:ascii="Public Sans" w:hAnsi="Public Sans"/>
          <w:b/>
        </w:rPr>
        <w:tab/>
        <w:t>Subject of a</w:t>
      </w:r>
      <w:r w:rsidR="00463D6D" w:rsidRPr="00F31B6B">
        <w:rPr>
          <w:rFonts w:ascii="Public Sans" w:hAnsi="Public Sans"/>
          <w:b/>
        </w:rPr>
        <w:t>llegation outcomes</w:t>
      </w:r>
    </w:p>
    <w:p w14:paraId="0623A7E1" w14:textId="08048563" w:rsidR="004D68DC" w:rsidRPr="00F31B6B" w:rsidRDefault="004D68DC" w:rsidP="004D68DC">
      <w:pPr>
        <w:pStyle w:val="Body"/>
        <w:widowControl w:val="0"/>
        <w:spacing w:before="120" w:after="0" w:line="240" w:lineRule="auto"/>
        <w:rPr>
          <w:rFonts w:ascii="Public Sans" w:hAnsi="Public Sans" w:cs="Segoe UI"/>
        </w:rPr>
      </w:pPr>
      <w:r w:rsidRPr="00F31B6B">
        <w:rPr>
          <w:rFonts w:ascii="Public Sans" w:hAnsi="Public Sans" w:cs="Segoe UI"/>
        </w:rPr>
        <w:t xml:space="preserve">For reports closed </w:t>
      </w:r>
      <w:r w:rsidR="00DE2C8E" w:rsidRPr="00F31B6B">
        <w:rPr>
          <w:rFonts w:ascii="Public Sans" w:hAnsi="Public Sans" w:cs="Segoe UI"/>
        </w:rPr>
        <w:t>in 202</w:t>
      </w:r>
      <w:r w:rsidR="008B2EE3" w:rsidRPr="00F31B6B">
        <w:rPr>
          <w:rFonts w:ascii="Public Sans" w:hAnsi="Public Sans" w:cs="Segoe UI"/>
        </w:rPr>
        <w:t>3</w:t>
      </w:r>
      <w:r w:rsidR="00DE2C8E" w:rsidRPr="00F31B6B">
        <w:rPr>
          <w:rFonts w:ascii="Public Sans" w:hAnsi="Public Sans" w:cs="Segoe UI"/>
        </w:rPr>
        <w:t>-2</w:t>
      </w:r>
      <w:r w:rsidR="008B2EE3" w:rsidRPr="00F31B6B">
        <w:rPr>
          <w:rFonts w:ascii="Public Sans" w:hAnsi="Public Sans" w:cs="Segoe UI"/>
        </w:rPr>
        <w:t>4</w:t>
      </w:r>
      <w:r w:rsidRPr="00F31B6B">
        <w:rPr>
          <w:rFonts w:ascii="Public Sans" w:hAnsi="Public Sans" w:cs="Segoe UI"/>
        </w:rPr>
        <w:t>, key outcomes in relation to the subject of allegation included that actions were taken to reduce or manage their contact with and access to the adult with disability</w:t>
      </w:r>
      <w:r w:rsidR="00E345CE" w:rsidRPr="00F31B6B">
        <w:rPr>
          <w:rFonts w:ascii="Public Sans" w:hAnsi="Public Sans" w:cs="Segoe UI"/>
        </w:rPr>
        <w:t xml:space="preserve"> or</w:t>
      </w:r>
      <w:r w:rsidRPr="00F31B6B">
        <w:rPr>
          <w:rFonts w:ascii="Public Sans" w:hAnsi="Public Sans" w:cs="Segoe UI"/>
        </w:rPr>
        <w:t xml:space="preserve"> older person (including through an ADVO). In appropriate cases, subjects of allegation were also provided with education or </w:t>
      </w:r>
      <w:proofErr w:type="gramStart"/>
      <w:r w:rsidRPr="00F31B6B">
        <w:rPr>
          <w:rFonts w:ascii="Public Sans" w:hAnsi="Public Sans" w:cs="Segoe UI"/>
        </w:rPr>
        <w:t>advice, and</w:t>
      </w:r>
      <w:proofErr w:type="gramEnd"/>
      <w:r w:rsidRPr="00F31B6B">
        <w:rPr>
          <w:rFonts w:ascii="Public Sans" w:hAnsi="Public Sans" w:cs="Segoe UI"/>
        </w:rPr>
        <w:t xml:space="preserve"> linked to additional supports.</w:t>
      </w:r>
    </w:p>
    <w:p w14:paraId="20EC1491" w14:textId="77777777" w:rsidR="005B0937" w:rsidRPr="00F31B6B" w:rsidRDefault="005B0937" w:rsidP="00584DA4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p w14:paraId="1BDDD080" w14:textId="2C12A869" w:rsidR="00D4511E" w:rsidRPr="00F31B6B" w:rsidRDefault="00D4511E" w:rsidP="00D4511E">
      <w:pPr>
        <w:spacing w:after="0" w:line="240" w:lineRule="auto"/>
        <w:rPr>
          <w:rFonts w:ascii="Public Sans" w:hAnsi="Public Sans"/>
          <w:b/>
          <w:sz w:val="18"/>
        </w:rPr>
      </w:pPr>
      <w:r w:rsidRPr="00F31B6B">
        <w:rPr>
          <w:rFonts w:ascii="Public Sans" w:hAnsi="Public Sans"/>
          <w:b/>
          <w:sz w:val="18"/>
        </w:rPr>
        <w:t xml:space="preserve">Table </w:t>
      </w:r>
      <w:r w:rsidR="00CF7837" w:rsidRPr="00F31B6B">
        <w:rPr>
          <w:rFonts w:ascii="Public Sans" w:hAnsi="Public Sans"/>
          <w:b/>
          <w:sz w:val="18"/>
        </w:rPr>
        <w:t>11</w:t>
      </w:r>
      <w:r w:rsidRPr="00F31B6B">
        <w:rPr>
          <w:rFonts w:ascii="Public Sans" w:hAnsi="Public Sans"/>
          <w:b/>
          <w:sz w:val="18"/>
        </w:rPr>
        <w:t xml:space="preserve">: </w:t>
      </w:r>
      <w:r w:rsidR="00F54129" w:rsidRPr="00F31B6B">
        <w:rPr>
          <w:rFonts w:ascii="Public Sans" w:hAnsi="Public Sans"/>
          <w:b/>
          <w:sz w:val="18"/>
        </w:rPr>
        <w:t xml:space="preserve">Leading outcomes in relation to the subject of allegation in a report to the ADC, reports closed </w:t>
      </w:r>
      <w:r w:rsidR="00474FF6" w:rsidRPr="00F31B6B">
        <w:rPr>
          <w:rFonts w:ascii="Public Sans" w:hAnsi="Public Sans"/>
          <w:b/>
          <w:sz w:val="18"/>
        </w:rPr>
        <w:t>202</w:t>
      </w:r>
      <w:r w:rsidR="00603BD7" w:rsidRPr="00F31B6B">
        <w:rPr>
          <w:rFonts w:ascii="Public Sans" w:hAnsi="Public Sans"/>
          <w:b/>
          <w:sz w:val="18"/>
        </w:rPr>
        <w:t>3</w:t>
      </w:r>
      <w:r w:rsidR="00474FF6" w:rsidRPr="00F31B6B">
        <w:rPr>
          <w:rFonts w:ascii="Public Sans" w:hAnsi="Public Sans"/>
          <w:b/>
          <w:sz w:val="18"/>
        </w:rPr>
        <w:t>-2</w:t>
      </w:r>
      <w:r w:rsidR="00603BD7" w:rsidRPr="00F31B6B">
        <w:rPr>
          <w:rFonts w:ascii="Public Sans" w:hAnsi="Public Sans"/>
          <w:b/>
          <w:sz w:val="18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2"/>
        <w:gridCol w:w="2390"/>
      </w:tblGrid>
      <w:tr w:rsidR="00153D12" w:rsidRPr="00F31B6B" w14:paraId="0FD529FC" w14:textId="77777777" w:rsidTr="00A35C17">
        <w:trPr>
          <w:trHeight w:val="349"/>
        </w:trPr>
        <w:tc>
          <w:tcPr>
            <w:tcW w:w="3729" w:type="pct"/>
            <w:shd w:val="clear" w:color="auto" w:fill="A5CCDF"/>
            <w:vAlign w:val="bottom"/>
            <w:hideMark/>
          </w:tcPr>
          <w:p w14:paraId="27947F77" w14:textId="77777777" w:rsidR="00153D12" w:rsidRPr="00F31B6B" w:rsidRDefault="00153D12" w:rsidP="00474FF6">
            <w:pPr>
              <w:spacing w:after="0" w:line="240" w:lineRule="auto"/>
              <w:rPr>
                <w:rFonts w:ascii="Public Sans" w:eastAsia="Times New Roman" w:hAnsi="Public Sans" w:cs="Times New Roman"/>
                <w:b/>
                <w:bCs/>
                <w:color w:val="000000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lang w:eastAsia="en-AU"/>
              </w:rPr>
              <w:t>Subject of allegation outcomes</w:t>
            </w:r>
          </w:p>
        </w:tc>
        <w:tc>
          <w:tcPr>
            <w:tcW w:w="1271" w:type="pct"/>
            <w:shd w:val="clear" w:color="auto" w:fill="A5CCDF"/>
            <w:vAlign w:val="bottom"/>
            <w:hideMark/>
          </w:tcPr>
          <w:p w14:paraId="06EABE38" w14:textId="77777777" w:rsidR="00153D12" w:rsidRPr="00F31B6B" w:rsidRDefault="00153D12" w:rsidP="001537C9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b/>
                <w:bCs/>
                <w:color w:val="000000"/>
                <w:lang w:eastAsia="en-AU"/>
              </w:rPr>
            </w:pPr>
            <w:r w:rsidRPr="00F31B6B">
              <w:rPr>
                <w:rFonts w:ascii="Public Sans" w:eastAsia="Times New Roman" w:hAnsi="Public Sans" w:cs="Times New Roman"/>
                <w:b/>
                <w:bCs/>
                <w:color w:val="000000"/>
                <w:lang w:eastAsia="en-AU"/>
              </w:rPr>
              <w:t>Number of cases</w:t>
            </w:r>
            <w:r w:rsidR="002325C7" w:rsidRPr="00F31B6B">
              <w:rPr>
                <w:rStyle w:val="FootnoteReference"/>
                <w:rFonts w:ascii="Public Sans" w:eastAsia="Times New Roman" w:hAnsi="Public Sans" w:cs="Times New Roman"/>
                <w:b/>
                <w:bCs/>
                <w:color w:val="000000"/>
                <w:lang w:eastAsia="en-AU"/>
              </w:rPr>
              <w:footnoteReference w:id="7"/>
            </w:r>
          </w:p>
        </w:tc>
      </w:tr>
      <w:tr w:rsidR="003B0A6F" w:rsidRPr="00F31B6B" w14:paraId="1F66659D" w14:textId="77777777" w:rsidTr="006A1825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  <w:hideMark/>
          </w:tcPr>
          <w:p w14:paraId="7FB86037" w14:textId="704A82FD" w:rsidR="003B0A6F" w:rsidRPr="00F31B6B" w:rsidRDefault="003B0A6F" w:rsidP="003B0A6F">
            <w:pPr>
              <w:spacing w:after="0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Education or advice provided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5F501C9C" w14:textId="312033D3" w:rsidR="003B0A6F" w:rsidRPr="00F31B6B" w:rsidRDefault="003B0A6F" w:rsidP="003B0A6F">
            <w:pPr>
              <w:spacing w:after="0"/>
              <w:jc w:val="right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498</w:t>
            </w:r>
          </w:p>
        </w:tc>
      </w:tr>
      <w:tr w:rsidR="003B0A6F" w:rsidRPr="00F31B6B" w14:paraId="6DA8D1B9" w14:textId="77777777" w:rsidTr="006A1825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  <w:hideMark/>
          </w:tcPr>
          <w:p w14:paraId="365502D1" w14:textId="76FB2DFB" w:rsidR="003B0A6F" w:rsidRPr="00F31B6B" w:rsidRDefault="003B0A6F" w:rsidP="003B0A6F">
            <w:pPr>
              <w:spacing w:after="0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Linked to/received more support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7659CA0A" w14:textId="6B95A43B" w:rsidR="003B0A6F" w:rsidRPr="00F31B6B" w:rsidRDefault="003B0A6F" w:rsidP="003B0A6F">
            <w:pPr>
              <w:spacing w:after="0"/>
              <w:jc w:val="right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105</w:t>
            </w:r>
          </w:p>
        </w:tc>
      </w:tr>
      <w:tr w:rsidR="003B0A6F" w:rsidRPr="00F31B6B" w14:paraId="5136590E" w14:textId="77777777" w:rsidTr="006A1825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</w:tcPr>
          <w:p w14:paraId="00829C39" w14:textId="7BCFDDB8" w:rsidR="003B0A6F" w:rsidRPr="00F31B6B" w:rsidRDefault="003B0A6F" w:rsidP="003B0A6F">
            <w:pPr>
              <w:spacing w:after="0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PSOA reduced/supervised access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2DAFED7B" w14:textId="0C15C00A" w:rsidR="003B0A6F" w:rsidRPr="00F31B6B" w:rsidRDefault="003B0A6F" w:rsidP="003B0A6F">
            <w:pPr>
              <w:spacing w:after="0"/>
              <w:jc w:val="right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16</w:t>
            </w:r>
          </w:p>
        </w:tc>
      </w:tr>
      <w:tr w:rsidR="003B0A6F" w:rsidRPr="00F31B6B" w14:paraId="3C6A5A75" w14:textId="77777777" w:rsidTr="006A1825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  <w:hideMark/>
          </w:tcPr>
          <w:p w14:paraId="2D035D78" w14:textId="598AA938" w:rsidR="003B0A6F" w:rsidRPr="00F31B6B" w:rsidRDefault="003B0A6F" w:rsidP="003B0A6F">
            <w:pPr>
              <w:spacing w:after="0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PSOA prevented from access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75258B9F" w14:textId="5CF94FDD" w:rsidR="003B0A6F" w:rsidRPr="00F31B6B" w:rsidRDefault="003B0A6F" w:rsidP="003B0A6F">
            <w:pPr>
              <w:spacing w:after="0"/>
              <w:jc w:val="right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13</w:t>
            </w:r>
          </w:p>
        </w:tc>
      </w:tr>
      <w:tr w:rsidR="003B0A6F" w:rsidRPr="00F31B6B" w14:paraId="42BC9098" w14:textId="77777777" w:rsidTr="00A35C17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</w:tcPr>
          <w:p w14:paraId="571D128B" w14:textId="520D899A" w:rsidR="003B0A6F" w:rsidRPr="00F31B6B" w:rsidRDefault="003B0A6F" w:rsidP="003B0A6F">
            <w:pPr>
              <w:spacing w:after="0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ADVO put in place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115D48BF" w14:textId="6D7962B5" w:rsidR="003B0A6F" w:rsidRPr="00F31B6B" w:rsidRDefault="003B0A6F" w:rsidP="003B0A6F">
            <w:pPr>
              <w:spacing w:after="0"/>
              <w:jc w:val="right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13</w:t>
            </w:r>
          </w:p>
        </w:tc>
      </w:tr>
      <w:tr w:rsidR="003B0A6F" w:rsidRPr="00F31B6B" w14:paraId="407224B8" w14:textId="77777777" w:rsidTr="00A35C17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</w:tcPr>
          <w:p w14:paraId="5703DC74" w14:textId="1B015508" w:rsidR="003B0A6F" w:rsidRPr="00F31B6B" w:rsidRDefault="003B0A6F" w:rsidP="003B0A6F">
            <w:pPr>
              <w:spacing w:after="0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Removal as POA or EPOA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4A2D21AF" w14:textId="1D014AC8" w:rsidR="003B0A6F" w:rsidRPr="00F31B6B" w:rsidRDefault="003B0A6F" w:rsidP="003B0A6F">
            <w:pPr>
              <w:spacing w:after="0"/>
              <w:jc w:val="right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10</w:t>
            </w:r>
          </w:p>
        </w:tc>
      </w:tr>
      <w:tr w:rsidR="003B0A6F" w:rsidRPr="00F31B6B" w14:paraId="3261449F" w14:textId="77777777" w:rsidTr="006A1825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</w:tcPr>
          <w:p w14:paraId="75F78121" w14:textId="3FB3D508" w:rsidR="003B0A6F" w:rsidRPr="00F31B6B" w:rsidRDefault="003B0A6F" w:rsidP="003B0A6F">
            <w:pPr>
              <w:spacing w:after="0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Benefit changed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3321CA79" w14:textId="37AD3380" w:rsidR="003B0A6F" w:rsidRPr="00F31B6B" w:rsidRDefault="003B0A6F" w:rsidP="003B0A6F">
            <w:pPr>
              <w:spacing w:after="0"/>
              <w:jc w:val="right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6</w:t>
            </w:r>
          </w:p>
        </w:tc>
      </w:tr>
      <w:tr w:rsidR="003B0A6F" w:rsidRPr="00F31B6B" w14:paraId="6E562C74" w14:textId="77777777" w:rsidTr="006A1825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  <w:hideMark/>
          </w:tcPr>
          <w:p w14:paraId="5892583C" w14:textId="58999966" w:rsidR="003B0A6F" w:rsidRPr="00F31B6B" w:rsidRDefault="003B0A6F" w:rsidP="003B0A6F">
            <w:pPr>
              <w:spacing w:after="0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Removal as NDIS nominee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014FD2C9" w14:textId="404F0EDD" w:rsidR="003B0A6F" w:rsidRPr="00F31B6B" w:rsidRDefault="003B0A6F" w:rsidP="003B0A6F">
            <w:pPr>
              <w:spacing w:after="0"/>
              <w:jc w:val="right"/>
              <w:rPr>
                <w:rFonts w:ascii="Public Sans" w:hAnsi="Public Sans"/>
                <w:color w:val="00000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6</w:t>
            </w:r>
          </w:p>
        </w:tc>
      </w:tr>
      <w:tr w:rsidR="003B0A6F" w:rsidRPr="00F31B6B" w14:paraId="7508494C" w14:textId="77777777" w:rsidTr="00A35C17">
        <w:trPr>
          <w:trHeight w:val="315"/>
        </w:trPr>
        <w:tc>
          <w:tcPr>
            <w:tcW w:w="3729" w:type="pct"/>
            <w:shd w:val="clear" w:color="auto" w:fill="auto"/>
            <w:vAlign w:val="center"/>
          </w:tcPr>
          <w:p w14:paraId="7AF44A43" w14:textId="18451299" w:rsidR="003B0A6F" w:rsidRPr="00F31B6B" w:rsidRDefault="003B0A6F" w:rsidP="003B0A6F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PSOA removed from premises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08D1D5EB" w14:textId="3B54B128" w:rsidR="003B0A6F" w:rsidRPr="00F31B6B" w:rsidRDefault="003B0A6F" w:rsidP="003B0A6F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5</w:t>
            </w:r>
          </w:p>
        </w:tc>
      </w:tr>
      <w:tr w:rsidR="003B0A6F" w:rsidRPr="00F31B6B" w14:paraId="5A5097F1" w14:textId="77777777" w:rsidTr="00A35C17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</w:tcPr>
          <w:p w14:paraId="59F0D9E6" w14:textId="674F4945" w:rsidR="003B0A6F" w:rsidRPr="00F31B6B" w:rsidRDefault="003B0A6F" w:rsidP="003B0A6F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Criminal charges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07E43EF9" w14:textId="02FDBEA5" w:rsidR="003B0A6F" w:rsidRPr="00F31B6B" w:rsidRDefault="003B0A6F" w:rsidP="003B0A6F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5</w:t>
            </w:r>
          </w:p>
        </w:tc>
      </w:tr>
      <w:tr w:rsidR="003B0A6F" w:rsidRPr="00F31B6B" w14:paraId="523E3B2F" w14:textId="77777777" w:rsidTr="00A35C17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</w:tcPr>
          <w:p w14:paraId="60E1EF4F" w14:textId="7532EF40" w:rsidR="003B0A6F" w:rsidRPr="00F31B6B" w:rsidRDefault="003B0A6F" w:rsidP="003B0A6F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Removal as enduring guardian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56A6A614" w14:textId="3D0857A5" w:rsidR="003B0A6F" w:rsidRPr="00F31B6B" w:rsidRDefault="003B0A6F" w:rsidP="003B0A6F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4</w:t>
            </w:r>
          </w:p>
        </w:tc>
      </w:tr>
      <w:tr w:rsidR="003B0A6F" w:rsidRPr="00F31B6B" w14:paraId="73160D77" w14:textId="77777777" w:rsidTr="00A35C17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</w:tcPr>
          <w:p w14:paraId="387165D2" w14:textId="06F7B104" w:rsidR="003B0A6F" w:rsidRPr="00F31B6B" w:rsidRDefault="003B0A6F" w:rsidP="003B0A6F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Benefit removed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715C0AC5" w14:textId="4C90FB59" w:rsidR="003B0A6F" w:rsidRPr="00F31B6B" w:rsidRDefault="003B0A6F" w:rsidP="003B0A6F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3</w:t>
            </w:r>
          </w:p>
        </w:tc>
      </w:tr>
      <w:tr w:rsidR="003B0A6F" w:rsidRPr="00F31B6B" w14:paraId="626DD325" w14:textId="77777777" w:rsidTr="00A35C17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</w:tcPr>
          <w:p w14:paraId="300F8FA2" w14:textId="45956D3B" w:rsidR="003B0A6F" w:rsidRPr="00F31B6B" w:rsidRDefault="003B0A6F" w:rsidP="003B0A6F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Removal of other authority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60060800" w14:textId="7063789A" w:rsidR="003B0A6F" w:rsidRPr="00F31B6B" w:rsidRDefault="003B0A6F" w:rsidP="003B0A6F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3</w:t>
            </w:r>
          </w:p>
        </w:tc>
      </w:tr>
      <w:tr w:rsidR="003B0A6F" w:rsidRPr="00F31B6B" w14:paraId="53D35BA3" w14:textId="77777777" w:rsidTr="00A35C17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</w:tcPr>
          <w:p w14:paraId="2A4A28E8" w14:textId="03593349" w:rsidR="003B0A6F" w:rsidRPr="00F31B6B" w:rsidRDefault="003B0A6F" w:rsidP="003B0A6F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Other action on PSOA worker check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7A10066C" w14:textId="7E77611F" w:rsidR="003B0A6F" w:rsidRPr="00F31B6B" w:rsidRDefault="003B0A6F" w:rsidP="003B0A6F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3</w:t>
            </w:r>
          </w:p>
        </w:tc>
      </w:tr>
      <w:tr w:rsidR="003B0A6F" w:rsidRPr="00F31B6B" w14:paraId="7CBC73F5" w14:textId="77777777" w:rsidTr="00A35C17">
        <w:trPr>
          <w:trHeight w:val="315"/>
        </w:trPr>
        <w:tc>
          <w:tcPr>
            <w:tcW w:w="3729" w:type="pct"/>
            <w:shd w:val="clear" w:color="auto" w:fill="auto"/>
            <w:noWrap/>
            <w:vAlign w:val="center"/>
          </w:tcPr>
          <w:p w14:paraId="6E6F6689" w14:textId="5E7188FA" w:rsidR="003B0A6F" w:rsidRPr="00F31B6B" w:rsidRDefault="003B0A6F" w:rsidP="003B0A6F">
            <w:pPr>
              <w:spacing w:after="0" w:line="240" w:lineRule="auto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Removal as guardian</w:t>
            </w:r>
          </w:p>
        </w:tc>
        <w:tc>
          <w:tcPr>
            <w:tcW w:w="1271" w:type="pct"/>
            <w:shd w:val="clear" w:color="auto" w:fill="auto"/>
            <w:noWrap/>
            <w:vAlign w:val="center"/>
          </w:tcPr>
          <w:p w14:paraId="42BD8C4E" w14:textId="6582956F" w:rsidR="003B0A6F" w:rsidRPr="00F31B6B" w:rsidRDefault="003B0A6F" w:rsidP="003B0A6F">
            <w:pPr>
              <w:spacing w:after="0" w:line="240" w:lineRule="auto"/>
              <w:jc w:val="right"/>
              <w:rPr>
                <w:rFonts w:ascii="Public Sans" w:eastAsia="Times New Roman" w:hAnsi="Public Sans" w:cs="Times New Roman"/>
                <w:color w:val="000000"/>
                <w:lang w:eastAsia="en-AU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2</w:t>
            </w:r>
          </w:p>
        </w:tc>
      </w:tr>
      <w:tr w:rsidR="00CC1157" w:rsidRPr="00F31B6B" w14:paraId="18471054" w14:textId="77777777" w:rsidTr="00BB4CBF">
        <w:trPr>
          <w:trHeight w:val="315"/>
        </w:trPr>
        <w:tc>
          <w:tcPr>
            <w:tcW w:w="37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A030" w14:textId="12F498A4" w:rsidR="00CC1157" w:rsidRPr="00F31B6B" w:rsidRDefault="00CC1157" w:rsidP="00CC1157">
            <w:pPr>
              <w:spacing w:after="0" w:line="240" w:lineRule="auto"/>
              <w:rPr>
                <w:rFonts w:ascii="Public Sans" w:hAnsi="Public Sans" w:cs="Calibri"/>
                <w:color w:val="000000"/>
                <w:sz w:val="20"/>
                <w:szCs w:val="2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Removal as financial manager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A2DAC" w14:textId="4C9096E1" w:rsidR="00CC1157" w:rsidRPr="00F31B6B" w:rsidRDefault="00CC1157" w:rsidP="00CC1157">
            <w:pPr>
              <w:spacing w:after="0" w:line="240" w:lineRule="auto"/>
              <w:jc w:val="right"/>
              <w:rPr>
                <w:rFonts w:ascii="Public Sans" w:hAnsi="Public Sans" w:cs="Calibri"/>
                <w:color w:val="000000"/>
                <w:sz w:val="20"/>
                <w:szCs w:val="2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2</w:t>
            </w:r>
          </w:p>
        </w:tc>
      </w:tr>
      <w:tr w:rsidR="00F429B4" w:rsidRPr="00F31B6B" w14:paraId="175DA4FE" w14:textId="77777777" w:rsidTr="007F30F3">
        <w:trPr>
          <w:trHeight w:val="315"/>
        </w:trPr>
        <w:tc>
          <w:tcPr>
            <w:tcW w:w="37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2B5A" w14:textId="0DC99841" w:rsidR="00F429B4" w:rsidRPr="00F31B6B" w:rsidRDefault="00F429B4" w:rsidP="00F429B4">
            <w:pPr>
              <w:spacing w:after="0" w:line="240" w:lineRule="auto"/>
              <w:rPr>
                <w:rFonts w:ascii="Public Sans" w:hAnsi="Public Sans" w:cs="Calibri"/>
                <w:color w:val="000000"/>
                <w:sz w:val="20"/>
                <w:szCs w:val="2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Other removal/change to benefit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3DCE2" w14:textId="09E2A13A" w:rsidR="00F429B4" w:rsidRPr="00F31B6B" w:rsidRDefault="00F429B4" w:rsidP="00F429B4">
            <w:pPr>
              <w:spacing w:after="0" w:line="240" w:lineRule="auto"/>
              <w:jc w:val="right"/>
              <w:rPr>
                <w:rFonts w:ascii="Public Sans" w:hAnsi="Public Sans" w:cs="Calibri"/>
                <w:color w:val="000000"/>
                <w:sz w:val="20"/>
                <w:szCs w:val="2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1</w:t>
            </w:r>
          </w:p>
        </w:tc>
      </w:tr>
      <w:tr w:rsidR="00F429B4" w:rsidRPr="00F31B6B" w14:paraId="771B61A7" w14:textId="77777777" w:rsidTr="007F30F3">
        <w:trPr>
          <w:trHeight w:val="315"/>
        </w:trPr>
        <w:tc>
          <w:tcPr>
            <w:tcW w:w="372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C0D5" w14:textId="564FD69B" w:rsidR="00F429B4" w:rsidRPr="00F31B6B" w:rsidRDefault="00F429B4" w:rsidP="00F429B4">
            <w:pPr>
              <w:spacing w:after="0" w:line="240" w:lineRule="auto"/>
              <w:rPr>
                <w:rFonts w:ascii="Public Sans" w:hAnsi="Public Sans" w:cs="Calibri"/>
                <w:color w:val="000000"/>
                <w:sz w:val="20"/>
                <w:szCs w:val="2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APVO put in place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875C7" w14:textId="4FE8DC6A" w:rsidR="00F429B4" w:rsidRPr="00F31B6B" w:rsidRDefault="00F429B4" w:rsidP="00F429B4">
            <w:pPr>
              <w:spacing w:after="0" w:line="240" w:lineRule="auto"/>
              <w:jc w:val="right"/>
              <w:rPr>
                <w:rFonts w:ascii="Public Sans" w:hAnsi="Public Sans" w:cs="Calibri"/>
                <w:color w:val="000000"/>
                <w:sz w:val="20"/>
                <w:szCs w:val="20"/>
              </w:rPr>
            </w:pPr>
            <w:r w:rsidRPr="00F31B6B">
              <w:rPr>
                <w:rFonts w:ascii="Public Sans" w:hAnsi="Public Sans" w:cs="Calibri"/>
                <w:color w:val="000000"/>
                <w:sz w:val="20"/>
                <w:szCs w:val="20"/>
              </w:rPr>
              <w:t>1</w:t>
            </w:r>
          </w:p>
        </w:tc>
      </w:tr>
    </w:tbl>
    <w:p w14:paraId="64B98639" w14:textId="77777777" w:rsidR="00474FF6" w:rsidRPr="00965C05" w:rsidRDefault="00474FF6" w:rsidP="00EE35DC">
      <w:pPr>
        <w:pStyle w:val="Body"/>
        <w:widowControl w:val="0"/>
        <w:spacing w:after="0" w:line="240" w:lineRule="auto"/>
        <w:rPr>
          <w:rFonts w:ascii="Public Sans" w:hAnsi="Public Sans" w:cs="Segoe UI"/>
        </w:rPr>
      </w:pPr>
    </w:p>
    <w:sectPr w:rsidR="00474FF6" w:rsidRPr="00965C05" w:rsidSect="002C240E">
      <w:footerReference w:type="default" r:id="rId23"/>
      <w:footerReference w:type="first" r:id="rId24"/>
      <w:pgSz w:w="11906" w:h="16838"/>
      <w:pgMar w:top="680" w:right="1247" w:bottom="680" w:left="1247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0461" w14:textId="77777777" w:rsidR="00E23610" w:rsidRDefault="00E23610" w:rsidP="00E403D8">
      <w:r>
        <w:separator/>
      </w:r>
    </w:p>
  </w:endnote>
  <w:endnote w:type="continuationSeparator" w:id="0">
    <w:p w14:paraId="7E584E56" w14:textId="77777777" w:rsidR="00E23610" w:rsidRDefault="00E23610" w:rsidP="00E4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42881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27A4C788" w14:textId="77777777" w:rsidR="007E2482" w:rsidRPr="00765E1B" w:rsidRDefault="007E2482">
        <w:pPr>
          <w:pStyle w:val="Footer"/>
          <w:jc w:val="right"/>
          <w:rPr>
            <w:sz w:val="20"/>
          </w:rPr>
        </w:pPr>
        <w:r w:rsidRPr="00765E1B">
          <w:rPr>
            <w:sz w:val="20"/>
          </w:rPr>
          <w:fldChar w:fldCharType="begin"/>
        </w:r>
        <w:r w:rsidRPr="00765E1B">
          <w:rPr>
            <w:sz w:val="20"/>
          </w:rPr>
          <w:instrText xml:space="preserve"> PAGE   \* MERGEFORMAT </w:instrText>
        </w:r>
        <w:r w:rsidRPr="00765E1B">
          <w:rPr>
            <w:sz w:val="20"/>
          </w:rPr>
          <w:fldChar w:fldCharType="separate"/>
        </w:r>
        <w:r w:rsidR="00E82181">
          <w:rPr>
            <w:noProof/>
            <w:sz w:val="20"/>
          </w:rPr>
          <w:t>2</w:t>
        </w:r>
        <w:r w:rsidRPr="00765E1B">
          <w:rPr>
            <w:noProof/>
            <w:sz w:val="20"/>
          </w:rPr>
          <w:fldChar w:fldCharType="end"/>
        </w:r>
      </w:p>
    </w:sdtContent>
  </w:sdt>
  <w:p w14:paraId="7787741C" w14:textId="77777777" w:rsidR="007E2482" w:rsidRDefault="007E2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A9D6" w14:textId="1A6CC2F7" w:rsidR="007E2482" w:rsidRDefault="007E2482" w:rsidP="00965C05">
    <w:pPr>
      <w:pStyle w:val="Header"/>
      <w:spacing w:after="0" w:line="240" w:lineRule="auto"/>
    </w:pPr>
  </w:p>
  <w:p w14:paraId="599041F8" w14:textId="77777777" w:rsidR="007E2482" w:rsidRDefault="007E2482" w:rsidP="00965C05">
    <w:pPr>
      <w:spacing w:after="0" w:line="240" w:lineRule="auto"/>
    </w:pPr>
  </w:p>
  <w:p w14:paraId="0E3FAF06" w14:textId="77777777" w:rsidR="007E2482" w:rsidRPr="004569F6" w:rsidRDefault="007E2482" w:rsidP="00965C05">
    <w:pPr>
      <w:pStyle w:val="Footer"/>
      <w:pBdr>
        <w:top w:val="single" w:sz="4" w:space="10" w:color="auto"/>
      </w:pBdr>
      <w:spacing w:after="0" w:line="240" w:lineRule="auto"/>
      <w:ind w:left="-567" w:right="-755"/>
      <w:rPr>
        <w:rFonts w:ascii="Public Sans" w:hAnsi="Public Sans"/>
        <w:color w:val="002668"/>
        <w:sz w:val="20"/>
        <w:szCs w:val="20"/>
      </w:rPr>
    </w:pPr>
    <w:r w:rsidRPr="004569F6">
      <w:rPr>
        <w:rFonts w:ascii="Public Sans" w:hAnsi="Public Sans"/>
        <w:color w:val="002668"/>
        <w:sz w:val="20"/>
        <w:szCs w:val="20"/>
      </w:rPr>
      <w:t xml:space="preserve">PO Box 40 </w:t>
    </w:r>
    <w:r w:rsidRPr="004569F6">
      <w:rPr>
        <w:rFonts w:ascii="Public Sans" w:hAnsi="Public Sans"/>
        <w:color w:val="002668"/>
        <w:sz w:val="20"/>
        <w:szCs w:val="20"/>
      </w:rPr>
      <w:tab/>
    </w:r>
    <w:r w:rsidRPr="004569F6">
      <w:rPr>
        <w:rFonts w:ascii="Public Sans" w:hAnsi="Public Sans"/>
        <w:color w:val="002668"/>
        <w:sz w:val="20"/>
        <w:szCs w:val="20"/>
      </w:rPr>
      <w:tab/>
    </w:r>
    <w:r w:rsidRPr="004569F6">
      <w:rPr>
        <w:rFonts w:ascii="Public Sans" w:hAnsi="Public Sans"/>
        <w:b/>
        <w:color w:val="002668"/>
        <w:sz w:val="20"/>
        <w:szCs w:val="20"/>
      </w:rPr>
      <w:t>NSW</w:t>
    </w:r>
    <w:r w:rsidRPr="004569F6">
      <w:rPr>
        <w:rFonts w:ascii="Public Sans" w:hAnsi="Public Sans"/>
        <w:color w:val="002668"/>
        <w:sz w:val="20"/>
        <w:szCs w:val="20"/>
      </w:rPr>
      <w:t xml:space="preserve"> </w:t>
    </w:r>
    <w:r w:rsidRPr="004569F6">
      <w:rPr>
        <w:rFonts w:ascii="Public Sans" w:hAnsi="Public Sans"/>
        <w:b/>
        <w:color w:val="002668"/>
        <w:sz w:val="20"/>
        <w:szCs w:val="20"/>
      </w:rPr>
      <w:t>Ageing and Disability Abuse Helpline</w:t>
    </w:r>
  </w:p>
  <w:p w14:paraId="3C2A2A2F" w14:textId="77777777" w:rsidR="007E2482" w:rsidRPr="004569F6" w:rsidRDefault="007E2482" w:rsidP="00965C05">
    <w:pPr>
      <w:pStyle w:val="Footer"/>
      <w:spacing w:after="0" w:line="240" w:lineRule="auto"/>
      <w:ind w:left="-567" w:right="-755"/>
      <w:rPr>
        <w:rFonts w:ascii="Public Sans" w:hAnsi="Public Sans"/>
        <w:color w:val="002668"/>
        <w:sz w:val="20"/>
        <w:szCs w:val="20"/>
      </w:rPr>
    </w:pPr>
    <w:r w:rsidRPr="004569F6">
      <w:rPr>
        <w:rFonts w:ascii="Public Sans" w:hAnsi="Public Sans"/>
        <w:color w:val="002668"/>
        <w:sz w:val="20"/>
        <w:szCs w:val="20"/>
      </w:rPr>
      <w:t xml:space="preserve">Parramatta NSW 2124 </w:t>
    </w:r>
    <w:r w:rsidRPr="004569F6">
      <w:rPr>
        <w:rFonts w:ascii="Public Sans" w:hAnsi="Public Sans"/>
        <w:color w:val="002668"/>
        <w:sz w:val="20"/>
        <w:szCs w:val="20"/>
      </w:rPr>
      <w:tab/>
    </w:r>
    <w:r w:rsidRPr="004569F6">
      <w:rPr>
        <w:rFonts w:ascii="Public Sans" w:hAnsi="Public Sans"/>
        <w:color w:val="002668"/>
        <w:sz w:val="20"/>
        <w:szCs w:val="20"/>
      </w:rPr>
      <w:tab/>
      <w:t>1800 628 221 | nswadc@adc.nsw.gov.au</w:t>
    </w:r>
  </w:p>
  <w:p w14:paraId="38A11EF9" w14:textId="4D678446" w:rsidR="007E2482" w:rsidRPr="004569F6" w:rsidRDefault="007E2482" w:rsidP="00965C05">
    <w:pPr>
      <w:pStyle w:val="Footer"/>
      <w:spacing w:after="0" w:line="240" w:lineRule="auto"/>
      <w:ind w:left="-567" w:right="-755"/>
      <w:rPr>
        <w:rFonts w:ascii="Public Sans" w:hAnsi="Public Sans"/>
        <w:color w:val="002668"/>
        <w:sz w:val="20"/>
        <w:szCs w:val="20"/>
      </w:rPr>
    </w:pPr>
    <w:r w:rsidRPr="004569F6">
      <w:rPr>
        <w:rFonts w:ascii="Public Sans" w:hAnsi="Public Sans"/>
        <w:color w:val="002668"/>
        <w:sz w:val="20"/>
        <w:szCs w:val="20"/>
      </w:rPr>
      <w:t>(02) 4904 7500 | adc.nsw.gov.au</w:t>
    </w:r>
    <w:r w:rsidRPr="004569F6">
      <w:rPr>
        <w:rFonts w:ascii="Public Sans" w:hAnsi="Public Sans"/>
        <w:color w:val="002668"/>
        <w:sz w:val="20"/>
        <w:szCs w:val="20"/>
      </w:rPr>
      <w:tab/>
    </w:r>
    <w:r w:rsidRPr="004569F6">
      <w:rPr>
        <w:rFonts w:ascii="Public Sans" w:hAnsi="Public Sans"/>
        <w:color w:val="002668"/>
        <w:sz w:val="20"/>
        <w:szCs w:val="20"/>
      </w:rPr>
      <w:tab/>
      <w:t>(Monday – Friday 9am-</w:t>
    </w:r>
    <w:r w:rsidR="006C2A53">
      <w:rPr>
        <w:rFonts w:ascii="Public Sans" w:hAnsi="Public Sans"/>
        <w:color w:val="002668"/>
        <w:sz w:val="20"/>
        <w:szCs w:val="20"/>
      </w:rPr>
      <w:t>4</w:t>
    </w:r>
    <w:r w:rsidRPr="004569F6">
      <w:rPr>
        <w:rFonts w:ascii="Public Sans" w:hAnsi="Public Sans"/>
        <w:color w:val="002668"/>
        <w:sz w:val="20"/>
        <w:szCs w:val="20"/>
      </w:rPr>
      <w:t>pm)</w:t>
    </w:r>
  </w:p>
  <w:p w14:paraId="182DFE64" w14:textId="77777777" w:rsidR="007E2482" w:rsidRDefault="007E2482" w:rsidP="00965C05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4C4D" w14:textId="77777777" w:rsidR="00E23610" w:rsidRDefault="00E23610" w:rsidP="00E403D8">
      <w:r>
        <w:separator/>
      </w:r>
    </w:p>
  </w:footnote>
  <w:footnote w:type="continuationSeparator" w:id="0">
    <w:p w14:paraId="459B843E" w14:textId="77777777" w:rsidR="00E23610" w:rsidRDefault="00E23610" w:rsidP="00E403D8">
      <w:r>
        <w:continuationSeparator/>
      </w:r>
    </w:p>
  </w:footnote>
  <w:footnote w:id="1">
    <w:p w14:paraId="13A1D642" w14:textId="12CB10D6" w:rsidR="00B357DD" w:rsidRDefault="00B357DD" w:rsidP="00790C32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="00790C32" w:rsidRPr="00790C32">
        <w:rPr>
          <w:rFonts w:ascii="Public Sans" w:hAnsi="Public Sans"/>
          <w:sz w:val="18"/>
        </w:rPr>
        <w:t>As the data on reports includes active and open cases, some of the data is subject to change. Data current as of 1</w:t>
      </w:r>
      <w:r w:rsidR="009E5FEF">
        <w:rPr>
          <w:rFonts w:ascii="Public Sans" w:hAnsi="Public Sans"/>
          <w:sz w:val="18"/>
        </w:rPr>
        <w:t>2</w:t>
      </w:r>
      <w:r w:rsidR="00790C32" w:rsidRPr="00790C32">
        <w:rPr>
          <w:rFonts w:ascii="Public Sans" w:hAnsi="Public Sans"/>
          <w:sz w:val="18"/>
        </w:rPr>
        <w:t xml:space="preserve"> July 2024.</w:t>
      </w:r>
    </w:p>
  </w:footnote>
  <w:footnote w:id="2">
    <w:p w14:paraId="36340CA0" w14:textId="77777777" w:rsidR="007E2482" w:rsidRPr="00965C05" w:rsidRDefault="007E2482" w:rsidP="00790C32">
      <w:pPr>
        <w:pStyle w:val="FootnoteText"/>
        <w:spacing w:after="0" w:line="240" w:lineRule="auto"/>
        <w:rPr>
          <w:rFonts w:ascii="Public Sans" w:hAnsi="Public Sans"/>
          <w:sz w:val="18"/>
        </w:rPr>
      </w:pPr>
      <w:r w:rsidRPr="00965C05">
        <w:rPr>
          <w:rStyle w:val="FootnoteReference"/>
          <w:rFonts w:ascii="Public Sans" w:hAnsi="Public Sans"/>
          <w:sz w:val="18"/>
        </w:rPr>
        <w:footnoteRef/>
      </w:r>
      <w:r w:rsidRPr="00965C05">
        <w:rPr>
          <w:rFonts w:ascii="Public Sans" w:hAnsi="Public Sans"/>
          <w:sz w:val="18"/>
        </w:rPr>
        <w:t xml:space="preserve"> Adults aged 65 years and older, and Aboriginal and/or Torres Strait Islander adults aged 50 years and older.</w:t>
      </w:r>
    </w:p>
  </w:footnote>
  <w:footnote w:id="3">
    <w:p w14:paraId="05D51F8F" w14:textId="77777777" w:rsidR="007E2482" w:rsidRPr="00965C05" w:rsidRDefault="007E2482" w:rsidP="00790C32">
      <w:pPr>
        <w:pStyle w:val="FootnoteText"/>
        <w:spacing w:after="0" w:line="240" w:lineRule="auto"/>
        <w:rPr>
          <w:rFonts w:ascii="Public Sans" w:hAnsi="Public Sans"/>
          <w:sz w:val="18"/>
        </w:rPr>
      </w:pPr>
      <w:r w:rsidRPr="00965C05">
        <w:rPr>
          <w:rStyle w:val="FootnoteReference"/>
          <w:rFonts w:ascii="Public Sans" w:hAnsi="Public Sans"/>
          <w:sz w:val="18"/>
        </w:rPr>
        <w:footnoteRef/>
      </w:r>
      <w:r w:rsidRPr="00965C05">
        <w:rPr>
          <w:rFonts w:ascii="Public Sans" w:hAnsi="Public Sans"/>
          <w:sz w:val="18"/>
        </w:rPr>
        <w:t xml:space="preserve"> Adults aged 18 years and older with a disability as defined in the </w:t>
      </w:r>
      <w:r w:rsidRPr="00965C05">
        <w:rPr>
          <w:rFonts w:ascii="Public Sans" w:hAnsi="Public Sans"/>
          <w:i/>
          <w:sz w:val="18"/>
        </w:rPr>
        <w:t>Disability Inclusion Act 2014</w:t>
      </w:r>
      <w:r w:rsidRPr="00965C05">
        <w:rPr>
          <w:rFonts w:ascii="Public Sans" w:hAnsi="Public Sans"/>
          <w:sz w:val="18"/>
        </w:rPr>
        <w:t>.</w:t>
      </w:r>
    </w:p>
  </w:footnote>
  <w:footnote w:id="4">
    <w:p w14:paraId="5C2864B9" w14:textId="77777777" w:rsidR="007E2482" w:rsidRPr="00D1182E" w:rsidRDefault="007E2482" w:rsidP="00AB543F">
      <w:pPr>
        <w:pStyle w:val="FootnoteText"/>
        <w:spacing w:after="0" w:line="240" w:lineRule="auto"/>
        <w:rPr>
          <w:rFonts w:ascii="Public Sans" w:hAnsi="Public Sans" w:cs="Segoe UI"/>
        </w:rPr>
      </w:pPr>
      <w:r w:rsidRPr="007600CE">
        <w:rPr>
          <w:rStyle w:val="FootnoteReference"/>
          <w:rFonts w:ascii="Public Sans" w:hAnsi="Public Sans" w:cs="Segoe UI"/>
          <w:sz w:val="18"/>
        </w:rPr>
        <w:footnoteRef/>
      </w:r>
      <w:r w:rsidRPr="007600CE">
        <w:rPr>
          <w:rFonts w:ascii="Public Sans" w:hAnsi="Public Sans" w:cs="Segoe UI"/>
          <w:sz w:val="18"/>
        </w:rPr>
        <w:t xml:space="preserve"> The data captures all cases in which that type of abuse has been reported; in </w:t>
      </w:r>
      <w:r w:rsidRPr="007600CE">
        <w:rPr>
          <w:rFonts w:ascii="Public Sans" w:hAnsi="Public Sans" w:cs="Segoe UI"/>
          <w:sz w:val="18"/>
        </w:rPr>
        <w:t xml:space="preserve">the majority of cases, more than one type of abuse is reported. </w:t>
      </w:r>
    </w:p>
  </w:footnote>
  <w:footnote w:id="5">
    <w:p w14:paraId="14ACFAC1" w14:textId="77777777" w:rsidR="007E2482" w:rsidRPr="00F87698" w:rsidRDefault="007E2482" w:rsidP="00AB543F">
      <w:pPr>
        <w:pStyle w:val="FootnoteText"/>
        <w:spacing w:after="0" w:line="240" w:lineRule="auto"/>
        <w:rPr>
          <w:rFonts w:ascii="Public Sans" w:hAnsi="Public Sans" w:cs="Segoe UI"/>
        </w:rPr>
      </w:pPr>
      <w:r w:rsidRPr="007600CE">
        <w:rPr>
          <w:rStyle w:val="FootnoteReference"/>
          <w:rFonts w:ascii="Public Sans" w:hAnsi="Public Sans" w:cs="Segoe UI"/>
          <w:sz w:val="18"/>
        </w:rPr>
        <w:footnoteRef/>
      </w:r>
      <w:r w:rsidRPr="007600CE">
        <w:rPr>
          <w:rFonts w:ascii="Public Sans" w:hAnsi="Public Sans" w:cs="Segoe UI"/>
          <w:sz w:val="18"/>
        </w:rPr>
        <w:t xml:space="preserve"> The data captures all cases in which that type of abuse has been reported; in </w:t>
      </w:r>
      <w:r w:rsidRPr="007600CE">
        <w:rPr>
          <w:rFonts w:ascii="Public Sans" w:hAnsi="Public Sans" w:cs="Segoe UI"/>
          <w:sz w:val="18"/>
        </w:rPr>
        <w:t xml:space="preserve">the majority of cases, more than one type of abuse is reported.   </w:t>
      </w:r>
    </w:p>
  </w:footnote>
  <w:footnote w:id="6">
    <w:p w14:paraId="4B1C8705" w14:textId="77777777" w:rsidR="007E2482" w:rsidRPr="00DC1823" w:rsidRDefault="007E2482" w:rsidP="007A2402">
      <w:pPr>
        <w:pStyle w:val="FootnoteText"/>
        <w:spacing w:after="0" w:line="240" w:lineRule="auto"/>
        <w:rPr>
          <w:rFonts w:ascii="Public Sans" w:hAnsi="Public Sans"/>
          <w:sz w:val="18"/>
        </w:rPr>
      </w:pPr>
      <w:r w:rsidRPr="00DC1823">
        <w:rPr>
          <w:rStyle w:val="FootnoteReference"/>
          <w:rFonts w:ascii="Public Sans" w:hAnsi="Public Sans"/>
          <w:sz w:val="18"/>
        </w:rPr>
        <w:footnoteRef/>
      </w:r>
      <w:r w:rsidRPr="00DC1823">
        <w:rPr>
          <w:rFonts w:ascii="Public Sans" w:hAnsi="Public Sans"/>
          <w:sz w:val="18"/>
        </w:rPr>
        <w:t xml:space="preserve"> There can be multiple outcomes for an individual.</w:t>
      </w:r>
    </w:p>
  </w:footnote>
  <w:footnote w:id="7">
    <w:p w14:paraId="20749A8B" w14:textId="77777777" w:rsidR="007E2482" w:rsidRDefault="007E2482">
      <w:pPr>
        <w:pStyle w:val="FootnoteText"/>
      </w:pPr>
      <w:r w:rsidRPr="00DC1823">
        <w:rPr>
          <w:rStyle w:val="FootnoteReference"/>
          <w:rFonts w:ascii="Public Sans" w:hAnsi="Public Sans"/>
          <w:sz w:val="18"/>
        </w:rPr>
        <w:footnoteRef/>
      </w:r>
      <w:r w:rsidRPr="00DC1823">
        <w:rPr>
          <w:rFonts w:ascii="Public Sans" w:hAnsi="Public Sans"/>
          <w:sz w:val="18"/>
        </w:rPr>
        <w:t xml:space="preserve"> There can be multiple outcomes in relation to an individual.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6DF"/>
    <w:multiLevelType w:val="hybridMultilevel"/>
    <w:tmpl w:val="63BA7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9AD"/>
    <w:multiLevelType w:val="hybridMultilevel"/>
    <w:tmpl w:val="455C3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F2F46"/>
    <w:multiLevelType w:val="hybridMultilevel"/>
    <w:tmpl w:val="8EDC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F488E"/>
    <w:multiLevelType w:val="hybridMultilevel"/>
    <w:tmpl w:val="1A84B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D19E6"/>
    <w:multiLevelType w:val="hybridMultilevel"/>
    <w:tmpl w:val="13EA5F3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7345"/>
    <w:multiLevelType w:val="hybridMultilevel"/>
    <w:tmpl w:val="0FD4AF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90A8D"/>
    <w:multiLevelType w:val="hybridMultilevel"/>
    <w:tmpl w:val="2CC8728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C8A"/>
    <w:multiLevelType w:val="hybridMultilevel"/>
    <w:tmpl w:val="6CB4981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D70013C"/>
    <w:multiLevelType w:val="hybridMultilevel"/>
    <w:tmpl w:val="8120481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A0785"/>
    <w:multiLevelType w:val="hybridMultilevel"/>
    <w:tmpl w:val="5254D8A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80B8E"/>
    <w:multiLevelType w:val="hybridMultilevel"/>
    <w:tmpl w:val="E3A6F2C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43F90"/>
    <w:multiLevelType w:val="hybridMultilevel"/>
    <w:tmpl w:val="11E010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269C8"/>
    <w:multiLevelType w:val="hybridMultilevel"/>
    <w:tmpl w:val="95DC9CC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430C6"/>
    <w:multiLevelType w:val="hybridMultilevel"/>
    <w:tmpl w:val="CEE84CA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A6141"/>
    <w:multiLevelType w:val="hybridMultilevel"/>
    <w:tmpl w:val="DC42584E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5A4D3D"/>
    <w:multiLevelType w:val="hybridMultilevel"/>
    <w:tmpl w:val="EB9C3F8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A5C17"/>
    <w:multiLevelType w:val="hybridMultilevel"/>
    <w:tmpl w:val="B8288B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52895"/>
    <w:multiLevelType w:val="hybridMultilevel"/>
    <w:tmpl w:val="5D18EF8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54B1B"/>
    <w:multiLevelType w:val="hybridMultilevel"/>
    <w:tmpl w:val="66541D5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F7ED7"/>
    <w:multiLevelType w:val="hybridMultilevel"/>
    <w:tmpl w:val="8FC28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F6A08"/>
    <w:multiLevelType w:val="hybridMultilevel"/>
    <w:tmpl w:val="F3DCD0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171F8"/>
    <w:multiLevelType w:val="hybridMultilevel"/>
    <w:tmpl w:val="2FF66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617D7"/>
    <w:multiLevelType w:val="hybridMultilevel"/>
    <w:tmpl w:val="7D2201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30D8"/>
    <w:multiLevelType w:val="hybridMultilevel"/>
    <w:tmpl w:val="EF10DC32"/>
    <w:lvl w:ilvl="0" w:tplc="A4D89238">
      <w:start w:val="1"/>
      <w:numFmt w:val="lowerLetter"/>
      <w:lvlText w:val="%1)"/>
      <w:lvlJc w:val="left"/>
      <w:pPr>
        <w:ind w:left="8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26" w:hanging="360"/>
      </w:pPr>
    </w:lvl>
    <w:lvl w:ilvl="2" w:tplc="0C09001B" w:tentative="1">
      <w:start w:val="1"/>
      <w:numFmt w:val="lowerRoman"/>
      <w:lvlText w:val="%3."/>
      <w:lvlJc w:val="right"/>
      <w:pPr>
        <w:ind w:left="2246" w:hanging="180"/>
      </w:pPr>
    </w:lvl>
    <w:lvl w:ilvl="3" w:tplc="0C09000F" w:tentative="1">
      <w:start w:val="1"/>
      <w:numFmt w:val="decimal"/>
      <w:lvlText w:val="%4."/>
      <w:lvlJc w:val="left"/>
      <w:pPr>
        <w:ind w:left="2966" w:hanging="360"/>
      </w:pPr>
    </w:lvl>
    <w:lvl w:ilvl="4" w:tplc="0C090019" w:tentative="1">
      <w:start w:val="1"/>
      <w:numFmt w:val="lowerLetter"/>
      <w:lvlText w:val="%5."/>
      <w:lvlJc w:val="left"/>
      <w:pPr>
        <w:ind w:left="3686" w:hanging="360"/>
      </w:pPr>
    </w:lvl>
    <w:lvl w:ilvl="5" w:tplc="0C09001B" w:tentative="1">
      <w:start w:val="1"/>
      <w:numFmt w:val="lowerRoman"/>
      <w:lvlText w:val="%6."/>
      <w:lvlJc w:val="right"/>
      <w:pPr>
        <w:ind w:left="4406" w:hanging="180"/>
      </w:pPr>
    </w:lvl>
    <w:lvl w:ilvl="6" w:tplc="0C09000F" w:tentative="1">
      <w:start w:val="1"/>
      <w:numFmt w:val="decimal"/>
      <w:lvlText w:val="%7."/>
      <w:lvlJc w:val="left"/>
      <w:pPr>
        <w:ind w:left="5126" w:hanging="360"/>
      </w:pPr>
    </w:lvl>
    <w:lvl w:ilvl="7" w:tplc="0C090019" w:tentative="1">
      <w:start w:val="1"/>
      <w:numFmt w:val="lowerLetter"/>
      <w:lvlText w:val="%8."/>
      <w:lvlJc w:val="left"/>
      <w:pPr>
        <w:ind w:left="5846" w:hanging="360"/>
      </w:pPr>
    </w:lvl>
    <w:lvl w:ilvl="8" w:tplc="0C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 w15:restartNumberingAfterBreak="0">
    <w:nsid w:val="4A387836"/>
    <w:multiLevelType w:val="hybridMultilevel"/>
    <w:tmpl w:val="3934061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C56F6"/>
    <w:multiLevelType w:val="hybridMultilevel"/>
    <w:tmpl w:val="1C589CA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F2686"/>
    <w:multiLevelType w:val="hybridMultilevel"/>
    <w:tmpl w:val="55FE6C2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E0F6A"/>
    <w:multiLevelType w:val="hybridMultilevel"/>
    <w:tmpl w:val="49FCDB0E"/>
    <w:lvl w:ilvl="0" w:tplc="0C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F793B"/>
    <w:multiLevelType w:val="hybridMultilevel"/>
    <w:tmpl w:val="D070F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16DBE"/>
    <w:multiLevelType w:val="hybridMultilevel"/>
    <w:tmpl w:val="C302C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95B2D"/>
    <w:multiLevelType w:val="hybridMultilevel"/>
    <w:tmpl w:val="2EF6D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B7445"/>
    <w:multiLevelType w:val="hybridMultilevel"/>
    <w:tmpl w:val="107807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0387C"/>
    <w:multiLevelType w:val="hybridMultilevel"/>
    <w:tmpl w:val="1618FEA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42F9D"/>
    <w:multiLevelType w:val="hybridMultilevel"/>
    <w:tmpl w:val="45F2A1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730B7"/>
    <w:multiLevelType w:val="hybridMultilevel"/>
    <w:tmpl w:val="0770A4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32653"/>
    <w:multiLevelType w:val="hybridMultilevel"/>
    <w:tmpl w:val="F536B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E715A"/>
    <w:multiLevelType w:val="hybridMultilevel"/>
    <w:tmpl w:val="948405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F01B1"/>
    <w:multiLevelType w:val="hybridMultilevel"/>
    <w:tmpl w:val="7706C52C"/>
    <w:lvl w:ilvl="0" w:tplc="FC784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FC7097"/>
    <w:multiLevelType w:val="hybridMultilevel"/>
    <w:tmpl w:val="1CAC5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91C37"/>
    <w:multiLevelType w:val="multilevel"/>
    <w:tmpl w:val="B30EA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686F2C"/>
    <w:multiLevelType w:val="hybridMultilevel"/>
    <w:tmpl w:val="776CE0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603C6"/>
    <w:multiLevelType w:val="hybridMultilevel"/>
    <w:tmpl w:val="C5CA7B9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A073DE3"/>
    <w:multiLevelType w:val="hybridMultilevel"/>
    <w:tmpl w:val="BAAA8E3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76B01"/>
    <w:multiLevelType w:val="hybridMultilevel"/>
    <w:tmpl w:val="C51C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D443F"/>
    <w:multiLevelType w:val="hybridMultilevel"/>
    <w:tmpl w:val="B3AAF0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90DE3"/>
    <w:multiLevelType w:val="hybridMultilevel"/>
    <w:tmpl w:val="B4BE4F6C"/>
    <w:lvl w:ilvl="0" w:tplc="B3DC6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1147277">
    <w:abstractNumId w:val="43"/>
  </w:num>
  <w:num w:numId="2" w16cid:durableId="2053192981">
    <w:abstractNumId w:val="21"/>
  </w:num>
  <w:num w:numId="3" w16cid:durableId="1472137145">
    <w:abstractNumId w:val="29"/>
  </w:num>
  <w:num w:numId="4" w16cid:durableId="233322224">
    <w:abstractNumId w:val="7"/>
  </w:num>
  <w:num w:numId="5" w16cid:durableId="195850502">
    <w:abstractNumId w:val="38"/>
  </w:num>
  <w:num w:numId="6" w16cid:durableId="180361453">
    <w:abstractNumId w:val="30"/>
  </w:num>
  <w:num w:numId="7" w16cid:durableId="1836995983">
    <w:abstractNumId w:val="3"/>
  </w:num>
  <w:num w:numId="8" w16cid:durableId="1940986801">
    <w:abstractNumId w:val="14"/>
  </w:num>
  <w:num w:numId="9" w16cid:durableId="1614552924">
    <w:abstractNumId w:val="44"/>
  </w:num>
  <w:num w:numId="10" w16cid:durableId="1711689115">
    <w:abstractNumId w:val="39"/>
  </w:num>
  <w:num w:numId="11" w16cid:durableId="761150342">
    <w:abstractNumId w:val="2"/>
  </w:num>
  <w:num w:numId="12" w16cid:durableId="416635383">
    <w:abstractNumId w:val="5"/>
  </w:num>
  <w:num w:numId="13" w16cid:durableId="809905615">
    <w:abstractNumId w:val="27"/>
  </w:num>
  <w:num w:numId="14" w16cid:durableId="132061459">
    <w:abstractNumId w:val="40"/>
  </w:num>
  <w:num w:numId="15" w16cid:durableId="1880704920">
    <w:abstractNumId w:val="10"/>
  </w:num>
  <w:num w:numId="16" w16cid:durableId="1557666513">
    <w:abstractNumId w:val="26"/>
  </w:num>
  <w:num w:numId="17" w16cid:durableId="1556159152">
    <w:abstractNumId w:val="42"/>
  </w:num>
  <w:num w:numId="18" w16cid:durableId="1552690964">
    <w:abstractNumId w:val="34"/>
  </w:num>
  <w:num w:numId="19" w16cid:durableId="396588441">
    <w:abstractNumId w:val="20"/>
  </w:num>
  <w:num w:numId="20" w16cid:durableId="1310137836">
    <w:abstractNumId w:val="24"/>
  </w:num>
  <w:num w:numId="21" w16cid:durableId="1178275770">
    <w:abstractNumId w:val="9"/>
  </w:num>
  <w:num w:numId="22" w16cid:durableId="1644505900">
    <w:abstractNumId w:val="15"/>
  </w:num>
  <w:num w:numId="23" w16cid:durableId="819152116">
    <w:abstractNumId w:val="8"/>
  </w:num>
  <w:num w:numId="24" w16cid:durableId="1514689362">
    <w:abstractNumId w:val="11"/>
  </w:num>
  <w:num w:numId="25" w16cid:durableId="952250167">
    <w:abstractNumId w:val="18"/>
  </w:num>
  <w:num w:numId="26" w16cid:durableId="830486080">
    <w:abstractNumId w:val="25"/>
  </w:num>
  <w:num w:numId="27" w16cid:durableId="411704824">
    <w:abstractNumId w:val="12"/>
  </w:num>
  <w:num w:numId="28" w16cid:durableId="2130200606">
    <w:abstractNumId w:val="4"/>
  </w:num>
  <w:num w:numId="29" w16cid:durableId="746328">
    <w:abstractNumId w:val="16"/>
  </w:num>
  <w:num w:numId="30" w16cid:durableId="1551069626">
    <w:abstractNumId w:val="31"/>
  </w:num>
  <w:num w:numId="31" w16cid:durableId="555777804">
    <w:abstractNumId w:val="37"/>
  </w:num>
  <w:num w:numId="32" w16cid:durableId="1520197188">
    <w:abstractNumId w:val="32"/>
  </w:num>
  <w:num w:numId="33" w16cid:durableId="1228153159">
    <w:abstractNumId w:val="17"/>
  </w:num>
  <w:num w:numId="34" w16cid:durableId="684674443">
    <w:abstractNumId w:val="6"/>
  </w:num>
  <w:num w:numId="35" w16cid:durableId="481969605">
    <w:abstractNumId w:val="13"/>
  </w:num>
  <w:num w:numId="36" w16cid:durableId="508713893">
    <w:abstractNumId w:val="45"/>
  </w:num>
  <w:num w:numId="37" w16cid:durableId="253519970">
    <w:abstractNumId w:val="33"/>
  </w:num>
  <w:num w:numId="38" w16cid:durableId="622931197">
    <w:abstractNumId w:val="36"/>
  </w:num>
  <w:num w:numId="39" w16cid:durableId="1840844651">
    <w:abstractNumId w:val="41"/>
  </w:num>
  <w:num w:numId="40" w16cid:durableId="877472470">
    <w:abstractNumId w:val="22"/>
  </w:num>
  <w:num w:numId="41" w16cid:durableId="1484540018">
    <w:abstractNumId w:val="23"/>
  </w:num>
  <w:num w:numId="42" w16cid:durableId="443815179">
    <w:abstractNumId w:val="0"/>
  </w:num>
  <w:num w:numId="43" w16cid:durableId="1857186855">
    <w:abstractNumId w:val="35"/>
  </w:num>
  <w:num w:numId="44" w16cid:durableId="1879395413">
    <w:abstractNumId w:val="28"/>
  </w:num>
  <w:num w:numId="45" w16cid:durableId="516895581">
    <w:abstractNumId w:val="0"/>
  </w:num>
  <w:num w:numId="46" w16cid:durableId="2016615470">
    <w:abstractNumId w:val="19"/>
  </w:num>
  <w:num w:numId="47" w16cid:durableId="241451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D8"/>
    <w:rsid w:val="000003DC"/>
    <w:rsid w:val="00003E08"/>
    <w:rsid w:val="00004192"/>
    <w:rsid w:val="00004796"/>
    <w:rsid w:val="000048E2"/>
    <w:rsid w:val="00007DDA"/>
    <w:rsid w:val="00011BF9"/>
    <w:rsid w:val="0001361F"/>
    <w:rsid w:val="00013696"/>
    <w:rsid w:val="00014357"/>
    <w:rsid w:val="00015F4F"/>
    <w:rsid w:val="00016EA9"/>
    <w:rsid w:val="000171B0"/>
    <w:rsid w:val="00024A94"/>
    <w:rsid w:val="0002639F"/>
    <w:rsid w:val="00032CEB"/>
    <w:rsid w:val="00037F4D"/>
    <w:rsid w:val="0004045F"/>
    <w:rsid w:val="00046920"/>
    <w:rsid w:val="00047700"/>
    <w:rsid w:val="00051DE4"/>
    <w:rsid w:val="00054AD4"/>
    <w:rsid w:val="0005529D"/>
    <w:rsid w:val="00060919"/>
    <w:rsid w:val="00060E00"/>
    <w:rsid w:val="00061B9B"/>
    <w:rsid w:val="00064857"/>
    <w:rsid w:val="0006721C"/>
    <w:rsid w:val="000704C5"/>
    <w:rsid w:val="00070B5C"/>
    <w:rsid w:val="00071E0E"/>
    <w:rsid w:val="00075101"/>
    <w:rsid w:val="00076749"/>
    <w:rsid w:val="00076AC7"/>
    <w:rsid w:val="00077192"/>
    <w:rsid w:val="00077ED9"/>
    <w:rsid w:val="0009043E"/>
    <w:rsid w:val="00091DD2"/>
    <w:rsid w:val="00093E98"/>
    <w:rsid w:val="00093FAB"/>
    <w:rsid w:val="000948A3"/>
    <w:rsid w:val="0009795C"/>
    <w:rsid w:val="000A0CFB"/>
    <w:rsid w:val="000A0DF1"/>
    <w:rsid w:val="000A2D69"/>
    <w:rsid w:val="000A592D"/>
    <w:rsid w:val="000A649A"/>
    <w:rsid w:val="000A7AF8"/>
    <w:rsid w:val="000B3A6C"/>
    <w:rsid w:val="000B44DA"/>
    <w:rsid w:val="000B5089"/>
    <w:rsid w:val="000B548E"/>
    <w:rsid w:val="000C33EC"/>
    <w:rsid w:val="000C3AE5"/>
    <w:rsid w:val="000C528D"/>
    <w:rsid w:val="000C7F74"/>
    <w:rsid w:val="000D1820"/>
    <w:rsid w:val="000D2060"/>
    <w:rsid w:val="000D56D9"/>
    <w:rsid w:val="000D6D39"/>
    <w:rsid w:val="000E16B8"/>
    <w:rsid w:val="000E6C6A"/>
    <w:rsid w:val="000F0A8B"/>
    <w:rsid w:val="000F1F54"/>
    <w:rsid w:val="000F24F8"/>
    <w:rsid w:val="000F3677"/>
    <w:rsid w:val="000F3A12"/>
    <w:rsid w:val="000F5954"/>
    <w:rsid w:val="000F63DC"/>
    <w:rsid w:val="000F7506"/>
    <w:rsid w:val="00100CE9"/>
    <w:rsid w:val="00101B61"/>
    <w:rsid w:val="00104A3D"/>
    <w:rsid w:val="00105663"/>
    <w:rsid w:val="0010665B"/>
    <w:rsid w:val="00106B53"/>
    <w:rsid w:val="00115243"/>
    <w:rsid w:val="00116407"/>
    <w:rsid w:val="0012057E"/>
    <w:rsid w:val="00120E8C"/>
    <w:rsid w:val="00122C5A"/>
    <w:rsid w:val="0012564E"/>
    <w:rsid w:val="00126332"/>
    <w:rsid w:val="00126A19"/>
    <w:rsid w:val="00126CE1"/>
    <w:rsid w:val="00126D1C"/>
    <w:rsid w:val="001300F3"/>
    <w:rsid w:val="00130A33"/>
    <w:rsid w:val="00130BAD"/>
    <w:rsid w:val="001310E6"/>
    <w:rsid w:val="00132CCF"/>
    <w:rsid w:val="001342F4"/>
    <w:rsid w:val="00136B5B"/>
    <w:rsid w:val="00137C0A"/>
    <w:rsid w:val="00137EF3"/>
    <w:rsid w:val="001402AD"/>
    <w:rsid w:val="00142C96"/>
    <w:rsid w:val="00143537"/>
    <w:rsid w:val="001435BD"/>
    <w:rsid w:val="0014515E"/>
    <w:rsid w:val="00146BA6"/>
    <w:rsid w:val="001473C9"/>
    <w:rsid w:val="00151AF4"/>
    <w:rsid w:val="00152023"/>
    <w:rsid w:val="001537C9"/>
    <w:rsid w:val="00153D12"/>
    <w:rsid w:val="001555A4"/>
    <w:rsid w:val="001572E3"/>
    <w:rsid w:val="00157384"/>
    <w:rsid w:val="001641FE"/>
    <w:rsid w:val="0016449E"/>
    <w:rsid w:val="001664D4"/>
    <w:rsid w:val="00170F31"/>
    <w:rsid w:val="00171272"/>
    <w:rsid w:val="00177203"/>
    <w:rsid w:val="0018360E"/>
    <w:rsid w:val="00184644"/>
    <w:rsid w:val="00185000"/>
    <w:rsid w:val="0018607A"/>
    <w:rsid w:val="001913B9"/>
    <w:rsid w:val="00197403"/>
    <w:rsid w:val="001A0B8C"/>
    <w:rsid w:val="001A0F6C"/>
    <w:rsid w:val="001A1431"/>
    <w:rsid w:val="001A2311"/>
    <w:rsid w:val="001A5927"/>
    <w:rsid w:val="001A5FB2"/>
    <w:rsid w:val="001A6FAB"/>
    <w:rsid w:val="001A6FB2"/>
    <w:rsid w:val="001A7180"/>
    <w:rsid w:val="001B1AAB"/>
    <w:rsid w:val="001B1CC3"/>
    <w:rsid w:val="001B2A61"/>
    <w:rsid w:val="001B3430"/>
    <w:rsid w:val="001B35AA"/>
    <w:rsid w:val="001B37C3"/>
    <w:rsid w:val="001B44AA"/>
    <w:rsid w:val="001B461D"/>
    <w:rsid w:val="001B590C"/>
    <w:rsid w:val="001C00A8"/>
    <w:rsid w:val="001C13C6"/>
    <w:rsid w:val="001C1CBA"/>
    <w:rsid w:val="001C3F32"/>
    <w:rsid w:val="001C6163"/>
    <w:rsid w:val="001C69DD"/>
    <w:rsid w:val="001D2656"/>
    <w:rsid w:val="001D5DF7"/>
    <w:rsid w:val="001E1198"/>
    <w:rsid w:val="001E360D"/>
    <w:rsid w:val="001E4675"/>
    <w:rsid w:val="001E4ECF"/>
    <w:rsid w:val="001F18D5"/>
    <w:rsid w:val="001F43A3"/>
    <w:rsid w:val="001F5863"/>
    <w:rsid w:val="001F60FF"/>
    <w:rsid w:val="001F716A"/>
    <w:rsid w:val="002020F2"/>
    <w:rsid w:val="00203CDD"/>
    <w:rsid w:val="002043FA"/>
    <w:rsid w:val="002064A5"/>
    <w:rsid w:val="00207343"/>
    <w:rsid w:val="00210C18"/>
    <w:rsid w:val="00211669"/>
    <w:rsid w:val="00211A58"/>
    <w:rsid w:val="00220DFF"/>
    <w:rsid w:val="002230E0"/>
    <w:rsid w:val="00223CE4"/>
    <w:rsid w:val="002255D9"/>
    <w:rsid w:val="00225FDE"/>
    <w:rsid w:val="00226EA6"/>
    <w:rsid w:val="002279EB"/>
    <w:rsid w:val="00227D60"/>
    <w:rsid w:val="00227EF7"/>
    <w:rsid w:val="00230D97"/>
    <w:rsid w:val="0023234E"/>
    <w:rsid w:val="002323CD"/>
    <w:rsid w:val="002325C7"/>
    <w:rsid w:val="00232930"/>
    <w:rsid w:val="0023448B"/>
    <w:rsid w:val="002401C5"/>
    <w:rsid w:val="00243DFE"/>
    <w:rsid w:val="0024622C"/>
    <w:rsid w:val="002502D8"/>
    <w:rsid w:val="0025158E"/>
    <w:rsid w:val="00253621"/>
    <w:rsid w:val="00253DF6"/>
    <w:rsid w:val="00257A2C"/>
    <w:rsid w:val="00260729"/>
    <w:rsid w:val="00262978"/>
    <w:rsid w:val="00263A6D"/>
    <w:rsid w:val="00263C49"/>
    <w:rsid w:val="00265B8D"/>
    <w:rsid w:val="00265D5B"/>
    <w:rsid w:val="0027009A"/>
    <w:rsid w:val="00270EC6"/>
    <w:rsid w:val="002719AE"/>
    <w:rsid w:val="00272E3A"/>
    <w:rsid w:val="00274B3F"/>
    <w:rsid w:val="00274DA0"/>
    <w:rsid w:val="00274EDE"/>
    <w:rsid w:val="002774D4"/>
    <w:rsid w:val="002807BC"/>
    <w:rsid w:val="002807C3"/>
    <w:rsid w:val="002819F5"/>
    <w:rsid w:val="002851D4"/>
    <w:rsid w:val="00285524"/>
    <w:rsid w:val="00285933"/>
    <w:rsid w:val="002976C4"/>
    <w:rsid w:val="002A0313"/>
    <w:rsid w:val="002A062E"/>
    <w:rsid w:val="002A175E"/>
    <w:rsid w:val="002A2F86"/>
    <w:rsid w:val="002A5165"/>
    <w:rsid w:val="002B1F03"/>
    <w:rsid w:val="002B3CAD"/>
    <w:rsid w:val="002B3E58"/>
    <w:rsid w:val="002B5379"/>
    <w:rsid w:val="002B66A6"/>
    <w:rsid w:val="002B7411"/>
    <w:rsid w:val="002C1A2C"/>
    <w:rsid w:val="002C240E"/>
    <w:rsid w:val="002C4EF2"/>
    <w:rsid w:val="002C58E5"/>
    <w:rsid w:val="002D2AAE"/>
    <w:rsid w:val="002D5B54"/>
    <w:rsid w:val="002D780C"/>
    <w:rsid w:val="002E0301"/>
    <w:rsid w:val="002E0A72"/>
    <w:rsid w:val="002E21E7"/>
    <w:rsid w:val="002E2D53"/>
    <w:rsid w:val="002E38AA"/>
    <w:rsid w:val="002E4365"/>
    <w:rsid w:val="002E4664"/>
    <w:rsid w:val="002E4A2E"/>
    <w:rsid w:val="00300201"/>
    <w:rsid w:val="0030330D"/>
    <w:rsid w:val="003039ED"/>
    <w:rsid w:val="003047E0"/>
    <w:rsid w:val="00304EC9"/>
    <w:rsid w:val="00306750"/>
    <w:rsid w:val="0031233C"/>
    <w:rsid w:val="00314504"/>
    <w:rsid w:val="00320494"/>
    <w:rsid w:val="003236E3"/>
    <w:rsid w:val="00324249"/>
    <w:rsid w:val="00326B1B"/>
    <w:rsid w:val="00330CB4"/>
    <w:rsid w:val="00331185"/>
    <w:rsid w:val="003313D1"/>
    <w:rsid w:val="00333111"/>
    <w:rsid w:val="0033367E"/>
    <w:rsid w:val="00336B02"/>
    <w:rsid w:val="003400F9"/>
    <w:rsid w:val="0034133F"/>
    <w:rsid w:val="003429D1"/>
    <w:rsid w:val="00344286"/>
    <w:rsid w:val="00345E6E"/>
    <w:rsid w:val="00351D6C"/>
    <w:rsid w:val="00352FCF"/>
    <w:rsid w:val="00355530"/>
    <w:rsid w:val="003559FD"/>
    <w:rsid w:val="00357158"/>
    <w:rsid w:val="0035769A"/>
    <w:rsid w:val="00362726"/>
    <w:rsid w:val="0036382E"/>
    <w:rsid w:val="003643AB"/>
    <w:rsid w:val="00370CA4"/>
    <w:rsid w:val="00370E0A"/>
    <w:rsid w:val="00375437"/>
    <w:rsid w:val="00376F22"/>
    <w:rsid w:val="00380D0B"/>
    <w:rsid w:val="003810A5"/>
    <w:rsid w:val="00387722"/>
    <w:rsid w:val="003907C0"/>
    <w:rsid w:val="00391216"/>
    <w:rsid w:val="003924AC"/>
    <w:rsid w:val="00392691"/>
    <w:rsid w:val="00394B79"/>
    <w:rsid w:val="0039583C"/>
    <w:rsid w:val="00395F06"/>
    <w:rsid w:val="00396C1A"/>
    <w:rsid w:val="003A1A93"/>
    <w:rsid w:val="003A2E78"/>
    <w:rsid w:val="003A3933"/>
    <w:rsid w:val="003A3F19"/>
    <w:rsid w:val="003A6EBC"/>
    <w:rsid w:val="003A7E18"/>
    <w:rsid w:val="003B0A6F"/>
    <w:rsid w:val="003B2319"/>
    <w:rsid w:val="003B6C60"/>
    <w:rsid w:val="003C1D94"/>
    <w:rsid w:val="003C5650"/>
    <w:rsid w:val="003C641B"/>
    <w:rsid w:val="003C6E4B"/>
    <w:rsid w:val="003C7075"/>
    <w:rsid w:val="003C7CEC"/>
    <w:rsid w:val="003D02E4"/>
    <w:rsid w:val="003D043A"/>
    <w:rsid w:val="003D0AF3"/>
    <w:rsid w:val="003D1D43"/>
    <w:rsid w:val="003D1E13"/>
    <w:rsid w:val="003D2C2F"/>
    <w:rsid w:val="003D5C8E"/>
    <w:rsid w:val="003D62A2"/>
    <w:rsid w:val="003D6A19"/>
    <w:rsid w:val="003E266B"/>
    <w:rsid w:val="003E3EEB"/>
    <w:rsid w:val="003E57B9"/>
    <w:rsid w:val="003F5893"/>
    <w:rsid w:val="003F6016"/>
    <w:rsid w:val="003F61E2"/>
    <w:rsid w:val="00400B44"/>
    <w:rsid w:val="00403DFB"/>
    <w:rsid w:val="004067AE"/>
    <w:rsid w:val="00414CD1"/>
    <w:rsid w:val="00420E44"/>
    <w:rsid w:val="00421F21"/>
    <w:rsid w:val="004265AF"/>
    <w:rsid w:val="0043285C"/>
    <w:rsid w:val="00433004"/>
    <w:rsid w:val="0043349E"/>
    <w:rsid w:val="004338B1"/>
    <w:rsid w:val="00440623"/>
    <w:rsid w:val="00446027"/>
    <w:rsid w:val="00452CBC"/>
    <w:rsid w:val="0045359B"/>
    <w:rsid w:val="0045441D"/>
    <w:rsid w:val="00455062"/>
    <w:rsid w:val="004553CB"/>
    <w:rsid w:val="00456A9B"/>
    <w:rsid w:val="00463D6D"/>
    <w:rsid w:val="004661B7"/>
    <w:rsid w:val="004734FB"/>
    <w:rsid w:val="0047355B"/>
    <w:rsid w:val="00474290"/>
    <w:rsid w:val="00474FC7"/>
    <w:rsid w:val="00474FF6"/>
    <w:rsid w:val="00477885"/>
    <w:rsid w:val="00482283"/>
    <w:rsid w:val="00482684"/>
    <w:rsid w:val="0048431F"/>
    <w:rsid w:val="00490A4B"/>
    <w:rsid w:val="00491431"/>
    <w:rsid w:val="00491635"/>
    <w:rsid w:val="0049428C"/>
    <w:rsid w:val="004953B3"/>
    <w:rsid w:val="004A0F90"/>
    <w:rsid w:val="004A36AB"/>
    <w:rsid w:val="004A4159"/>
    <w:rsid w:val="004A4FD0"/>
    <w:rsid w:val="004A5719"/>
    <w:rsid w:val="004B13B5"/>
    <w:rsid w:val="004B221A"/>
    <w:rsid w:val="004B3971"/>
    <w:rsid w:val="004B77EA"/>
    <w:rsid w:val="004C00CB"/>
    <w:rsid w:val="004C4AAA"/>
    <w:rsid w:val="004D2E72"/>
    <w:rsid w:val="004D4569"/>
    <w:rsid w:val="004D5D78"/>
    <w:rsid w:val="004D600A"/>
    <w:rsid w:val="004D6384"/>
    <w:rsid w:val="004D68DC"/>
    <w:rsid w:val="004E332F"/>
    <w:rsid w:val="004E7BF1"/>
    <w:rsid w:val="004F07F0"/>
    <w:rsid w:val="004F4D4C"/>
    <w:rsid w:val="004F7953"/>
    <w:rsid w:val="0050048A"/>
    <w:rsid w:val="00502500"/>
    <w:rsid w:val="00502FDA"/>
    <w:rsid w:val="005037FC"/>
    <w:rsid w:val="00504D20"/>
    <w:rsid w:val="00505489"/>
    <w:rsid w:val="00505954"/>
    <w:rsid w:val="005064BD"/>
    <w:rsid w:val="00507C41"/>
    <w:rsid w:val="00507E27"/>
    <w:rsid w:val="005114EA"/>
    <w:rsid w:val="0051613C"/>
    <w:rsid w:val="0051643B"/>
    <w:rsid w:val="005211F0"/>
    <w:rsid w:val="00522B10"/>
    <w:rsid w:val="00523A36"/>
    <w:rsid w:val="0052546B"/>
    <w:rsid w:val="00527D72"/>
    <w:rsid w:val="00537092"/>
    <w:rsid w:val="00544C35"/>
    <w:rsid w:val="00545A80"/>
    <w:rsid w:val="005462A9"/>
    <w:rsid w:val="0055249D"/>
    <w:rsid w:val="00552882"/>
    <w:rsid w:val="00555313"/>
    <w:rsid w:val="005561EC"/>
    <w:rsid w:val="00564050"/>
    <w:rsid w:val="0056780C"/>
    <w:rsid w:val="00571A83"/>
    <w:rsid w:val="00571D1C"/>
    <w:rsid w:val="00572EC1"/>
    <w:rsid w:val="00573A7C"/>
    <w:rsid w:val="00576B62"/>
    <w:rsid w:val="00580F03"/>
    <w:rsid w:val="00582FF5"/>
    <w:rsid w:val="00582FF7"/>
    <w:rsid w:val="00584B4E"/>
    <w:rsid w:val="00584DA4"/>
    <w:rsid w:val="005962CF"/>
    <w:rsid w:val="00597EA9"/>
    <w:rsid w:val="005A1391"/>
    <w:rsid w:val="005B0937"/>
    <w:rsid w:val="005B2CA1"/>
    <w:rsid w:val="005B6C35"/>
    <w:rsid w:val="005B6DC8"/>
    <w:rsid w:val="005B6EFC"/>
    <w:rsid w:val="005C4722"/>
    <w:rsid w:val="005C5F34"/>
    <w:rsid w:val="005C6908"/>
    <w:rsid w:val="005C6CD2"/>
    <w:rsid w:val="005C74A7"/>
    <w:rsid w:val="005D0244"/>
    <w:rsid w:val="005D0C70"/>
    <w:rsid w:val="005D260D"/>
    <w:rsid w:val="005D4657"/>
    <w:rsid w:val="005E0E99"/>
    <w:rsid w:val="005E1479"/>
    <w:rsid w:val="005E2AA6"/>
    <w:rsid w:val="005E5950"/>
    <w:rsid w:val="005E5CC8"/>
    <w:rsid w:val="005E6A87"/>
    <w:rsid w:val="005E7202"/>
    <w:rsid w:val="005E77FB"/>
    <w:rsid w:val="005F20B4"/>
    <w:rsid w:val="005F4043"/>
    <w:rsid w:val="005F5104"/>
    <w:rsid w:val="005F6B95"/>
    <w:rsid w:val="006009CD"/>
    <w:rsid w:val="006019FE"/>
    <w:rsid w:val="00603BD7"/>
    <w:rsid w:val="006048FF"/>
    <w:rsid w:val="00606132"/>
    <w:rsid w:val="0060733D"/>
    <w:rsid w:val="006075AC"/>
    <w:rsid w:val="00610878"/>
    <w:rsid w:val="006109BC"/>
    <w:rsid w:val="006129C5"/>
    <w:rsid w:val="006135A6"/>
    <w:rsid w:val="00613890"/>
    <w:rsid w:val="00613BBE"/>
    <w:rsid w:val="00614280"/>
    <w:rsid w:val="00616202"/>
    <w:rsid w:val="00617219"/>
    <w:rsid w:val="00620D1C"/>
    <w:rsid w:val="00620DDC"/>
    <w:rsid w:val="00621569"/>
    <w:rsid w:val="00630D17"/>
    <w:rsid w:val="00632E94"/>
    <w:rsid w:val="00633C59"/>
    <w:rsid w:val="00642E1A"/>
    <w:rsid w:val="00643D24"/>
    <w:rsid w:val="00644E3D"/>
    <w:rsid w:val="006478FC"/>
    <w:rsid w:val="00650CBA"/>
    <w:rsid w:val="00652F7C"/>
    <w:rsid w:val="0065477F"/>
    <w:rsid w:val="006565CF"/>
    <w:rsid w:val="00656C29"/>
    <w:rsid w:val="00656E54"/>
    <w:rsid w:val="00660E73"/>
    <w:rsid w:val="00662509"/>
    <w:rsid w:val="00662517"/>
    <w:rsid w:val="0066276A"/>
    <w:rsid w:val="00663816"/>
    <w:rsid w:val="0066419B"/>
    <w:rsid w:val="006652CB"/>
    <w:rsid w:val="00666EA2"/>
    <w:rsid w:val="00671022"/>
    <w:rsid w:val="006712C2"/>
    <w:rsid w:val="00671CA6"/>
    <w:rsid w:val="006739D2"/>
    <w:rsid w:val="0067473E"/>
    <w:rsid w:val="00674B17"/>
    <w:rsid w:val="006756EA"/>
    <w:rsid w:val="0067723C"/>
    <w:rsid w:val="006816DF"/>
    <w:rsid w:val="00683AB7"/>
    <w:rsid w:val="00685BF9"/>
    <w:rsid w:val="0069073A"/>
    <w:rsid w:val="006929C2"/>
    <w:rsid w:val="00692E2D"/>
    <w:rsid w:val="006938AC"/>
    <w:rsid w:val="00696F28"/>
    <w:rsid w:val="006A1825"/>
    <w:rsid w:val="006A377B"/>
    <w:rsid w:val="006B0451"/>
    <w:rsid w:val="006B15BD"/>
    <w:rsid w:val="006B182B"/>
    <w:rsid w:val="006B3FCE"/>
    <w:rsid w:val="006B447F"/>
    <w:rsid w:val="006B5165"/>
    <w:rsid w:val="006B6D30"/>
    <w:rsid w:val="006C15AD"/>
    <w:rsid w:val="006C2A53"/>
    <w:rsid w:val="006C716F"/>
    <w:rsid w:val="006C7F4C"/>
    <w:rsid w:val="006D1065"/>
    <w:rsid w:val="006D21B9"/>
    <w:rsid w:val="006D638C"/>
    <w:rsid w:val="006E028C"/>
    <w:rsid w:val="006E0FAB"/>
    <w:rsid w:val="006E1386"/>
    <w:rsid w:val="006E301E"/>
    <w:rsid w:val="006E4F2D"/>
    <w:rsid w:val="006E6AC8"/>
    <w:rsid w:val="006F5FA5"/>
    <w:rsid w:val="006F6066"/>
    <w:rsid w:val="006F6F8B"/>
    <w:rsid w:val="00706677"/>
    <w:rsid w:val="00711A93"/>
    <w:rsid w:val="0071469D"/>
    <w:rsid w:val="00716C45"/>
    <w:rsid w:val="00722541"/>
    <w:rsid w:val="007241E1"/>
    <w:rsid w:val="00727D9D"/>
    <w:rsid w:val="00730028"/>
    <w:rsid w:val="00731794"/>
    <w:rsid w:val="007319BA"/>
    <w:rsid w:val="007342E8"/>
    <w:rsid w:val="007360C2"/>
    <w:rsid w:val="00740C94"/>
    <w:rsid w:val="00740E41"/>
    <w:rsid w:val="00740F07"/>
    <w:rsid w:val="00741607"/>
    <w:rsid w:val="007449DA"/>
    <w:rsid w:val="0074500C"/>
    <w:rsid w:val="007467EE"/>
    <w:rsid w:val="00747AE4"/>
    <w:rsid w:val="00751BD6"/>
    <w:rsid w:val="007526D8"/>
    <w:rsid w:val="00753514"/>
    <w:rsid w:val="007600CE"/>
    <w:rsid w:val="0076068C"/>
    <w:rsid w:val="007631E4"/>
    <w:rsid w:val="007649F5"/>
    <w:rsid w:val="00765E1B"/>
    <w:rsid w:val="00766409"/>
    <w:rsid w:val="007666DB"/>
    <w:rsid w:val="00767577"/>
    <w:rsid w:val="00767B8F"/>
    <w:rsid w:val="007770FB"/>
    <w:rsid w:val="007814B0"/>
    <w:rsid w:val="00783389"/>
    <w:rsid w:val="00784C3B"/>
    <w:rsid w:val="00787D1C"/>
    <w:rsid w:val="00790C32"/>
    <w:rsid w:val="00791C34"/>
    <w:rsid w:val="007956DC"/>
    <w:rsid w:val="00796A0E"/>
    <w:rsid w:val="007979E9"/>
    <w:rsid w:val="007A0599"/>
    <w:rsid w:val="007A0ADE"/>
    <w:rsid w:val="007A2402"/>
    <w:rsid w:val="007A38C5"/>
    <w:rsid w:val="007A4BC6"/>
    <w:rsid w:val="007B12A4"/>
    <w:rsid w:val="007B2057"/>
    <w:rsid w:val="007B2324"/>
    <w:rsid w:val="007B246A"/>
    <w:rsid w:val="007B751C"/>
    <w:rsid w:val="007B756D"/>
    <w:rsid w:val="007C3046"/>
    <w:rsid w:val="007C35E0"/>
    <w:rsid w:val="007C41B6"/>
    <w:rsid w:val="007C53F4"/>
    <w:rsid w:val="007D131C"/>
    <w:rsid w:val="007D2CF6"/>
    <w:rsid w:val="007D4C6A"/>
    <w:rsid w:val="007D7B19"/>
    <w:rsid w:val="007E1F13"/>
    <w:rsid w:val="007E229D"/>
    <w:rsid w:val="007E2482"/>
    <w:rsid w:val="007E4C5E"/>
    <w:rsid w:val="007E5C28"/>
    <w:rsid w:val="007E5CDE"/>
    <w:rsid w:val="007E6CEF"/>
    <w:rsid w:val="007E7A0F"/>
    <w:rsid w:val="007F2397"/>
    <w:rsid w:val="007F2465"/>
    <w:rsid w:val="007F36DE"/>
    <w:rsid w:val="007F6794"/>
    <w:rsid w:val="008014CA"/>
    <w:rsid w:val="00801BB6"/>
    <w:rsid w:val="00803939"/>
    <w:rsid w:val="008039BC"/>
    <w:rsid w:val="00805EE1"/>
    <w:rsid w:val="008061A1"/>
    <w:rsid w:val="008146DE"/>
    <w:rsid w:val="00814700"/>
    <w:rsid w:val="00824D08"/>
    <w:rsid w:val="00826750"/>
    <w:rsid w:val="00835EF1"/>
    <w:rsid w:val="00836808"/>
    <w:rsid w:val="00837987"/>
    <w:rsid w:val="0084023B"/>
    <w:rsid w:val="00840718"/>
    <w:rsid w:val="008408FC"/>
    <w:rsid w:val="0084186C"/>
    <w:rsid w:val="00846E2E"/>
    <w:rsid w:val="008501F7"/>
    <w:rsid w:val="00850987"/>
    <w:rsid w:val="00850D76"/>
    <w:rsid w:val="0085268A"/>
    <w:rsid w:val="00855C36"/>
    <w:rsid w:val="00856B23"/>
    <w:rsid w:val="008573BB"/>
    <w:rsid w:val="008609CB"/>
    <w:rsid w:val="00863831"/>
    <w:rsid w:val="008646E5"/>
    <w:rsid w:val="00866DEC"/>
    <w:rsid w:val="008674F6"/>
    <w:rsid w:val="00870683"/>
    <w:rsid w:val="008738A0"/>
    <w:rsid w:val="0087591B"/>
    <w:rsid w:val="008762AC"/>
    <w:rsid w:val="00876C23"/>
    <w:rsid w:val="00880222"/>
    <w:rsid w:val="008816F3"/>
    <w:rsid w:val="00881EC6"/>
    <w:rsid w:val="008870A6"/>
    <w:rsid w:val="00887FCD"/>
    <w:rsid w:val="0089024A"/>
    <w:rsid w:val="00892066"/>
    <w:rsid w:val="00894434"/>
    <w:rsid w:val="008A0A98"/>
    <w:rsid w:val="008A3F1F"/>
    <w:rsid w:val="008A614A"/>
    <w:rsid w:val="008A693B"/>
    <w:rsid w:val="008A72F7"/>
    <w:rsid w:val="008A77A6"/>
    <w:rsid w:val="008B2249"/>
    <w:rsid w:val="008B2EE3"/>
    <w:rsid w:val="008B3EA8"/>
    <w:rsid w:val="008B526E"/>
    <w:rsid w:val="008C1002"/>
    <w:rsid w:val="008C6077"/>
    <w:rsid w:val="008D2740"/>
    <w:rsid w:val="008D2EF8"/>
    <w:rsid w:val="008D471D"/>
    <w:rsid w:val="008D5B25"/>
    <w:rsid w:val="008D6B07"/>
    <w:rsid w:val="008D6BBC"/>
    <w:rsid w:val="008E0477"/>
    <w:rsid w:val="008E0C84"/>
    <w:rsid w:val="008E1FFE"/>
    <w:rsid w:val="008E3810"/>
    <w:rsid w:val="008F52C9"/>
    <w:rsid w:val="008F7319"/>
    <w:rsid w:val="008F751E"/>
    <w:rsid w:val="00900A4A"/>
    <w:rsid w:val="00902154"/>
    <w:rsid w:val="00904EAF"/>
    <w:rsid w:val="009052DB"/>
    <w:rsid w:val="00906F61"/>
    <w:rsid w:val="00910991"/>
    <w:rsid w:val="00911358"/>
    <w:rsid w:val="009126C8"/>
    <w:rsid w:val="00912720"/>
    <w:rsid w:val="00923265"/>
    <w:rsid w:val="00924EA2"/>
    <w:rsid w:val="00925C47"/>
    <w:rsid w:val="00927B4D"/>
    <w:rsid w:val="00927F96"/>
    <w:rsid w:val="00931644"/>
    <w:rsid w:val="00936332"/>
    <w:rsid w:val="00937268"/>
    <w:rsid w:val="00937C32"/>
    <w:rsid w:val="009419C5"/>
    <w:rsid w:val="00942AF7"/>
    <w:rsid w:val="009527BC"/>
    <w:rsid w:val="00954077"/>
    <w:rsid w:val="009576E0"/>
    <w:rsid w:val="0096096B"/>
    <w:rsid w:val="00962009"/>
    <w:rsid w:val="0096363F"/>
    <w:rsid w:val="00965339"/>
    <w:rsid w:val="00965C05"/>
    <w:rsid w:val="00967036"/>
    <w:rsid w:val="00967069"/>
    <w:rsid w:val="009721C6"/>
    <w:rsid w:val="00972A73"/>
    <w:rsid w:val="009827FD"/>
    <w:rsid w:val="00982992"/>
    <w:rsid w:val="00983BDF"/>
    <w:rsid w:val="00983CC4"/>
    <w:rsid w:val="00984B10"/>
    <w:rsid w:val="00991047"/>
    <w:rsid w:val="0099414C"/>
    <w:rsid w:val="0099669A"/>
    <w:rsid w:val="0099736A"/>
    <w:rsid w:val="009A099B"/>
    <w:rsid w:val="009A3EEF"/>
    <w:rsid w:val="009A4821"/>
    <w:rsid w:val="009A576C"/>
    <w:rsid w:val="009A5C58"/>
    <w:rsid w:val="009B2EEB"/>
    <w:rsid w:val="009B4986"/>
    <w:rsid w:val="009B6499"/>
    <w:rsid w:val="009C0495"/>
    <w:rsid w:val="009C2613"/>
    <w:rsid w:val="009C4138"/>
    <w:rsid w:val="009C4778"/>
    <w:rsid w:val="009D1157"/>
    <w:rsid w:val="009D2B38"/>
    <w:rsid w:val="009E21D3"/>
    <w:rsid w:val="009E2E8E"/>
    <w:rsid w:val="009E3FE5"/>
    <w:rsid w:val="009E5FEF"/>
    <w:rsid w:val="009F035E"/>
    <w:rsid w:val="009F1E3B"/>
    <w:rsid w:val="009F2564"/>
    <w:rsid w:val="009F5333"/>
    <w:rsid w:val="009F6EAE"/>
    <w:rsid w:val="00A00CCC"/>
    <w:rsid w:val="00A044CA"/>
    <w:rsid w:val="00A05113"/>
    <w:rsid w:val="00A13170"/>
    <w:rsid w:val="00A16984"/>
    <w:rsid w:val="00A20149"/>
    <w:rsid w:val="00A249BE"/>
    <w:rsid w:val="00A277FF"/>
    <w:rsid w:val="00A3138A"/>
    <w:rsid w:val="00A324CD"/>
    <w:rsid w:val="00A35C17"/>
    <w:rsid w:val="00A35E7F"/>
    <w:rsid w:val="00A36150"/>
    <w:rsid w:val="00A37C7C"/>
    <w:rsid w:val="00A37F59"/>
    <w:rsid w:val="00A40635"/>
    <w:rsid w:val="00A40B34"/>
    <w:rsid w:val="00A40E69"/>
    <w:rsid w:val="00A45529"/>
    <w:rsid w:val="00A510FB"/>
    <w:rsid w:val="00A514ED"/>
    <w:rsid w:val="00A51ACE"/>
    <w:rsid w:val="00A546E3"/>
    <w:rsid w:val="00A564FB"/>
    <w:rsid w:val="00A623E4"/>
    <w:rsid w:val="00A6415F"/>
    <w:rsid w:val="00A64AA8"/>
    <w:rsid w:val="00A662DD"/>
    <w:rsid w:val="00A7048A"/>
    <w:rsid w:val="00A71699"/>
    <w:rsid w:val="00A738A7"/>
    <w:rsid w:val="00A7497E"/>
    <w:rsid w:val="00A7657E"/>
    <w:rsid w:val="00A82630"/>
    <w:rsid w:val="00A90683"/>
    <w:rsid w:val="00A9234C"/>
    <w:rsid w:val="00A940DC"/>
    <w:rsid w:val="00A95DA7"/>
    <w:rsid w:val="00A960FF"/>
    <w:rsid w:val="00AB1035"/>
    <w:rsid w:val="00AB504F"/>
    <w:rsid w:val="00AB53FF"/>
    <w:rsid w:val="00AB543F"/>
    <w:rsid w:val="00AB5515"/>
    <w:rsid w:val="00AB633C"/>
    <w:rsid w:val="00AB6816"/>
    <w:rsid w:val="00AB6EFC"/>
    <w:rsid w:val="00AC0B65"/>
    <w:rsid w:val="00AC295F"/>
    <w:rsid w:val="00AC625E"/>
    <w:rsid w:val="00AD4448"/>
    <w:rsid w:val="00AD5110"/>
    <w:rsid w:val="00AE0918"/>
    <w:rsid w:val="00AE2450"/>
    <w:rsid w:val="00AE4763"/>
    <w:rsid w:val="00AE4F3F"/>
    <w:rsid w:val="00AE53F9"/>
    <w:rsid w:val="00AE5BF6"/>
    <w:rsid w:val="00AF0BD7"/>
    <w:rsid w:val="00AF1767"/>
    <w:rsid w:val="00AF380B"/>
    <w:rsid w:val="00AF67C1"/>
    <w:rsid w:val="00AF7B64"/>
    <w:rsid w:val="00B0093C"/>
    <w:rsid w:val="00B00E3D"/>
    <w:rsid w:val="00B02A4C"/>
    <w:rsid w:val="00B067A3"/>
    <w:rsid w:val="00B110C8"/>
    <w:rsid w:val="00B115D1"/>
    <w:rsid w:val="00B12CE8"/>
    <w:rsid w:val="00B12F62"/>
    <w:rsid w:val="00B162A9"/>
    <w:rsid w:val="00B174F6"/>
    <w:rsid w:val="00B20D8B"/>
    <w:rsid w:val="00B21D2D"/>
    <w:rsid w:val="00B22F42"/>
    <w:rsid w:val="00B26E1D"/>
    <w:rsid w:val="00B305C4"/>
    <w:rsid w:val="00B33D5D"/>
    <w:rsid w:val="00B357DD"/>
    <w:rsid w:val="00B37EA4"/>
    <w:rsid w:val="00B42C9D"/>
    <w:rsid w:val="00B43E3E"/>
    <w:rsid w:val="00B476AF"/>
    <w:rsid w:val="00B53EFC"/>
    <w:rsid w:val="00B54ABB"/>
    <w:rsid w:val="00B5509D"/>
    <w:rsid w:val="00B5592F"/>
    <w:rsid w:val="00B56EA2"/>
    <w:rsid w:val="00B60C5E"/>
    <w:rsid w:val="00B62427"/>
    <w:rsid w:val="00B62B8A"/>
    <w:rsid w:val="00B64431"/>
    <w:rsid w:val="00B64566"/>
    <w:rsid w:val="00B65D67"/>
    <w:rsid w:val="00B70D6A"/>
    <w:rsid w:val="00B72C71"/>
    <w:rsid w:val="00B73BE3"/>
    <w:rsid w:val="00B744FC"/>
    <w:rsid w:val="00B76E36"/>
    <w:rsid w:val="00B77BE8"/>
    <w:rsid w:val="00B82670"/>
    <w:rsid w:val="00B85024"/>
    <w:rsid w:val="00B97BFF"/>
    <w:rsid w:val="00BA157E"/>
    <w:rsid w:val="00BA3FF9"/>
    <w:rsid w:val="00BA4E33"/>
    <w:rsid w:val="00BA58D3"/>
    <w:rsid w:val="00BA5954"/>
    <w:rsid w:val="00BA5A5B"/>
    <w:rsid w:val="00BB320E"/>
    <w:rsid w:val="00BB3EAA"/>
    <w:rsid w:val="00BB42DC"/>
    <w:rsid w:val="00BB4690"/>
    <w:rsid w:val="00BB5217"/>
    <w:rsid w:val="00BB6C2F"/>
    <w:rsid w:val="00BB6E02"/>
    <w:rsid w:val="00BC0382"/>
    <w:rsid w:val="00BC0660"/>
    <w:rsid w:val="00BC0C0F"/>
    <w:rsid w:val="00BC14EA"/>
    <w:rsid w:val="00BC1B48"/>
    <w:rsid w:val="00BC22F4"/>
    <w:rsid w:val="00BC32A4"/>
    <w:rsid w:val="00BC3D36"/>
    <w:rsid w:val="00BC47A9"/>
    <w:rsid w:val="00BD20A5"/>
    <w:rsid w:val="00BD3C8C"/>
    <w:rsid w:val="00BD4C6E"/>
    <w:rsid w:val="00BD5760"/>
    <w:rsid w:val="00BD68A3"/>
    <w:rsid w:val="00BD6D17"/>
    <w:rsid w:val="00BE0788"/>
    <w:rsid w:val="00BE3870"/>
    <w:rsid w:val="00BE4E73"/>
    <w:rsid w:val="00BE5FA9"/>
    <w:rsid w:val="00BF37C7"/>
    <w:rsid w:val="00BF4395"/>
    <w:rsid w:val="00BF51CC"/>
    <w:rsid w:val="00C002B4"/>
    <w:rsid w:val="00C014CE"/>
    <w:rsid w:val="00C02C1E"/>
    <w:rsid w:val="00C03B41"/>
    <w:rsid w:val="00C03C71"/>
    <w:rsid w:val="00C072EF"/>
    <w:rsid w:val="00C1009E"/>
    <w:rsid w:val="00C10D9D"/>
    <w:rsid w:val="00C1499E"/>
    <w:rsid w:val="00C1546B"/>
    <w:rsid w:val="00C16F1E"/>
    <w:rsid w:val="00C220A0"/>
    <w:rsid w:val="00C24681"/>
    <w:rsid w:val="00C26631"/>
    <w:rsid w:val="00C30AD2"/>
    <w:rsid w:val="00C32B13"/>
    <w:rsid w:val="00C34802"/>
    <w:rsid w:val="00C3482F"/>
    <w:rsid w:val="00C429EB"/>
    <w:rsid w:val="00C43A9D"/>
    <w:rsid w:val="00C44C0B"/>
    <w:rsid w:val="00C475C2"/>
    <w:rsid w:val="00C5070D"/>
    <w:rsid w:val="00C50B5A"/>
    <w:rsid w:val="00C51439"/>
    <w:rsid w:val="00C621B6"/>
    <w:rsid w:val="00C62830"/>
    <w:rsid w:val="00C64724"/>
    <w:rsid w:val="00C65A7D"/>
    <w:rsid w:val="00C67914"/>
    <w:rsid w:val="00C6794F"/>
    <w:rsid w:val="00C7347A"/>
    <w:rsid w:val="00C759AD"/>
    <w:rsid w:val="00C76563"/>
    <w:rsid w:val="00C932DF"/>
    <w:rsid w:val="00C973B6"/>
    <w:rsid w:val="00C97679"/>
    <w:rsid w:val="00CA0DF0"/>
    <w:rsid w:val="00CA1398"/>
    <w:rsid w:val="00CA2502"/>
    <w:rsid w:val="00CA2B54"/>
    <w:rsid w:val="00CA49D4"/>
    <w:rsid w:val="00CA5D66"/>
    <w:rsid w:val="00CA609A"/>
    <w:rsid w:val="00CB090E"/>
    <w:rsid w:val="00CB2646"/>
    <w:rsid w:val="00CB6814"/>
    <w:rsid w:val="00CC1157"/>
    <w:rsid w:val="00CC387D"/>
    <w:rsid w:val="00CC5297"/>
    <w:rsid w:val="00CD0C56"/>
    <w:rsid w:val="00CD1EB1"/>
    <w:rsid w:val="00CD2420"/>
    <w:rsid w:val="00CD2A6F"/>
    <w:rsid w:val="00CD3AB6"/>
    <w:rsid w:val="00CD6F41"/>
    <w:rsid w:val="00CE13C4"/>
    <w:rsid w:val="00CE21E2"/>
    <w:rsid w:val="00CE4D19"/>
    <w:rsid w:val="00CE7FC8"/>
    <w:rsid w:val="00CF1DBF"/>
    <w:rsid w:val="00CF2031"/>
    <w:rsid w:val="00CF44D5"/>
    <w:rsid w:val="00CF5034"/>
    <w:rsid w:val="00CF5191"/>
    <w:rsid w:val="00CF7837"/>
    <w:rsid w:val="00D05007"/>
    <w:rsid w:val="00D0536A"/>
    <w:rsid w:val="00D061CB"/>
    <w:rsid w:val="00D0661E"/>
    <w:rsid w:val="00D06A9B"/>
    <w:rsid w:val="00D1182E"/>
    <w:rsid w:val="00D133A2"/>
    <w:rsid w:val="00D1434B"/>
    <w:rsid w:val="00D150D1"/>
    <w:rsid w:val="00D178C7"/>
    <w:rsid w:val="00D21742"/>
    <w:rsid w:val="00D21FD6"/>
    <w:rsid w:val="00D227D0"/>
    <w:rsid w:val="00D234E3"/>
    <w:rsid w:val="00D2649D"/>
    <w:rsid w:val="00D366C5"/>
    <w:rsid w:val="00D36EBD"/>
    <w:rsid w:val="00D4119B"/>
    <w:rsid w:val="00D41E13"/>
    <w:rsid w:val="00D4281A"/>
    <w:rsid w:val="00D4468E"/>
    <w:rsid w:val="00D4511E"/>
    <w:rsid w:val="00D45F39"/>
    <w:rsid w:val="00D55A5A"/>
    <w:rsid w:val="00D5664F"/>
    <w:rsid w:val="00D603BC"/>
    <w:rsid w:val="00D61ACF"/>
    <w:rsid w:val="00D61FE1"/>
    <w:rsid w:val="00D657A6"/>
    <w:rsid w:val="00D66F36"/>
    <w:rsid w:val="00D70038"/>
    <w:rsid w:val="00D728E2"/>
    <w:rsid w:val="00D72A12"/>
    <w:rsid w:val="00D756F8"/>
    <w:rsid w:val="00D765AD"/>
    <w:rsid w:val="00D76D81"/>
    <w:rsid w:val="00D777E6"/>
    <w:rsid w:val="00D810A4"/>
    <w:rsid w:val="00D819E5"/>
    <w:rsid w:val="00D836C1"/>
    <w:rsid w:val="00D873C1"/>
    <w:rsid w:val="00D87426"/>
    <w:rsid w:val="00D9155A"/>
    <w:rsid w:val="00D915DF"/>
    <w:rsid w:val="00D95973"/>
    <w:rsid w:val="00D96DB8"/>
    <w:rsid w:val="00DA144F"/>
    <w:rsid w:val="00DA239C"/>
    <w:rsid w:val="00DA4B94"/>
    <w:rsid w:val="00DA6DB3"/>
    <w:rsid w:val="00DB0E60"/>
    <w:rsid w:val="00DB1022"/>
    <w:rsid w:val="00DB26B0"/>
    <w:rsid w:val="00DB7000"/>
    <w:rsid w:val="00DC078C"/>
    <w:rsid w:val="00DC1823"/>
    <w:rsid w:val="00DC27E5"/>
    <w:rsid w:val="00DC3678"/>
    <w:rsid w:val="00DC377E"/>
    <w:rsid w:val="00DC62B1"/>
    <w:rsid w:val="00DD299A"/>
    <w:rsid w:val="00DD4949"/>
    <w:rsid w:val="00DD4B9C"/>
    <w:rsid w:val="00DD520E"/>
    <w:rsid w:val="00DE054D"/>
    <w:rsid w:val="00DE15D7"/>
    <w:rsid w:val="00DE29AA"/>
    <w:rsid w:val="00DE2C8E"/>
    <w:rsid w:val="00DE4F6F"/>
    <w:rsid w:val="00DE751B"/>
    <w:rsid w:val="00DE7A39"/>
    <w:rsid w:val="00DF041F"/>
    <w:rsid w:val="00DF0E9C"/>
    <w:rsid w:val="00DF553C"/>
    <w:rsid w:val="00E01BA0"/>
    <w:rsid w:val="00E024F6"/>
    <w:rsid w:val="00E0261F"/>
    <w:rsid w:val="00E05432"/>
    <w:rsid w:val="00E10BB7"/>
    <w:rsid w:val="00E13280"/>
    <w:rsid w:val="00E134D4"/>
    <w:rsid w:val="00E20388"/>
    <w:rsid w:val="00E207C3"/>
    <w:rsid w:val="00E23610"/>
    <w:rsid w:val="00E24F7F"/>
    <w:rsid w:val="00E30DB6"/>
    <w:rsid w:val="00E312A9"/>
    <w:rsid w:val="00E345CE"/>
    <w:rsid w:val="00E34795"/>
    <w:rsid w:val="00E403D8"/>
    <w:rsid w:val="00E40960"/>
    <w:rsid w:val="00E4128C"/>
    <w:rsid w:val="00E42768"/>
    <w:rsid w:val="00E42986"/>
    <w:rsid w:val="00E43EA1"/>
    <w:rsid w:val="00E508FE"/>
    <w:rsid w:val="00E51B63"/>
    <w:rsid w:val="00E5337C"/>
    <w:rsid w:val="00E54170"/>
    <w:rsid w:val="00E606F1"/>
    <w:rsid w:val="00E60CB7"/>
    <w:rsid w:val="00E632C2"/>
    <w:rsid w:val="00E65CC6"/>
    <w:rsid w:val="00E70647"/>
    <w:rsid w:val="00E7078B"/>
    <w:rsid w:val="00E70F73"/>
    <w:rsid w:val="00E7349E"/>
    <w:rsid w:val="00E76116"/>
    <w:rsid w:val="00E77B9E"/>
    <w:rsid w:val="00E82181"/>
    <w:rsid w:val="00E870C1"/>
    <w:rsid w:val="00E92511"/>
    <w:rsid w:val="00E95295"/>
    <w:rsid w:val="00E9710B"/>
    <w:rsid w:val="00EA0C24"/>
    <w:rsid w:val="00EA14C0"/>
    <w:rsid w:val="00EA3678"/>
    <w:rsid w:val="00EA5A3F"/>
    <w:rsid w:val="00EA5D08"/>
    <w:rsid w:val="00EA67E5"/>
    <w:rsid w:val="00EB2472"/>
    <w:rsid w:val="00EB5A1D"/>
    <w:rsid w:val="00EB5FA7"/>
    <w:rsid w:val="00EB67A8"/>
    <w:rsid w:val="00EB71EF"/>
    <w:rsid w:val="00EB7B45"/>
    <w:rsid w:val="00EC336E"/>
    <w:rsid w:val="00EC4EA0"/>
    <w:rsid w:val="00EC521B"/>
    <w:rsid w:val="00EC7E06"/>
    <w:rsid w:val="00EC7FCC"/>
    <w:rsid w:val="00ED2B81"/>
    <w:rsid w:val="00ED3FA7"/>
    <w:rsid w:val="00ED523A"/>
    <w:rsid w:val="00ED75B2"/>
    <w:rsid w:val="00EE0608"/>
    <w:rsid w:val="00EE1398"/>
    <w:rsid w:val="00EE1CDD"/>
    <w:rsid w:val="00EE322A"/>
    <w:rsid w:val="00EE35DC"/>
    <w:rsid w:val="00EE4B60"/>
    <w:rsid w:val="00EE5762"/>
    <w:rsid w:val="00EF08E9"/>
    <w:rsid w:val="00EF361C"/>
    <w:rsid w:val="00EF3FE0"/>
    <w:rsid w:val="00EF7C1A"/>
    <w:rsid w:val="00F00118"/>
    <w:rsid w:val="00F004CD"/>
    <w:rsid w:val="00F004DF"/>
    <w:rsid w:val="00F0254D"/>
    <w:rsid w:val="00F025EF"/>
    <w:rsid w:val="00F02FB3"/>
    <w:rsid w:val="00F03C65"/>
    <w:rsid w:val="00F1114B"/>
    <w:rsid w:val="00F11213"/>
    <w:rsid w:val="00F123B3"/>
    <w:rsid w:val="00F12DB9"/>
    <w:rsid w:val="00F14BB9"/>
    <w:rsid w:val="00F17565"/>
    <w:rsid w:val="00F17A44"/>
    <w:rsid w:val="00F17AB3"/>
    <w:rsid w:val="00F25367"/>
    <w:rsid w:val="00F2755F"/>
    <w:rsid w:val="00F311E1"/>
    <w:rsid w:val="00F31946"/>
    <w:rsid w:val="00F31B6B"/>
    <w:rsid w:val="00F33F16"/>
    <w:rsid w:val="00F341BA"/>
    <w:rsid w:val="00F35C40"/>
    <w:rsid w:val="00F36042"/>
    <w:rsid w:val="00F429B4"/>
    <w:rsid w:val="00F42CD0"/>
    <w:rsid w:val="00F43C34"/>
    <w:rsid w:val="00F44B3E"/>
    <w:rsid w:val="00F47D6A"/>
    <w:rsid w:val="00F5166B"/>
    <w:rsid w:val="00F54129"/>
    <w:rsid w:val="00F55799"/>
    <w:rsid w:val="00F55B5C"/>
    <w:rsid w:val="00F606A9"/>
    <w:rsid w:val="00F63A84"/>
    <w:rsid w:val="00F6632E"/>
    <w:rsid w:val="00F70642"/>
    <w:rsid w:val="00F7186E"/>
    <w:rsid w:val="00F71E32"/>
    <w:rsid w:val="00F73D9D"/>
    <w:rsid w:val="00F743D1"/>
    <w:rsid w:val="00F7503E"/>
    <w:rsid w:val="00F77E6C"/>
    <w:rsid w:val="00F837CF"/>
    <w:rsid w:val="00F845A7"/>
    <w:rsid w:val="00F86437"/>
    <w:rsid w:val="00F87698"/>
    <w:rsid w:val="00F878F2"/>
    <w:rsid w:val="00F87A11"/>
    <w:rsid w:val="00F90324"/>
    <w:rsid w:val="00F91279"/>
    <w:rsid w:val="00F95A49"/>
    <w:rsid w:val="00F96412"/>
    <w:rsid w:val="00F97CC0"/>
    <w:rsid w:val="00FA08BE"/>
    <w:rsid w:val="00FA1892"/>
    <w:rsid w:val="00FA70DD"/>
    <w:rsid w:val="00FA71C3"/>
    <w:rsid w:val="00FA75C3"/>
    <w:rsid w:val="00FB00DF"/>
    <w:rsid w:val="00FB079F"/>
    <w:rsid w:val="00FB0DDC"/>
    <w:rsid w:val="00FB2875"/>
    <w:rsid w:val="00FB29F0"/>
    <w:rsid w:val="00FB39E6"/>
    <w:rsid w:val="00FB6374"/>
    <w:rsid w:val="00FC097F"/>
    <w:rsid w:val="00FC2F9C"/>
    <w:rsid w:val="00FC387E"/>
    <w:rsid w:val="00FC3D57"/>
    <w:rsid w:val="00FC4D05"/>
    <w:rsid w:val="00FC57CE"/>
    <w:rsid w:val="00FC5DF9"/>
    <w:rsid w:val="00FC705E"/>
    <w:rsid w:val="00FC73C0"/>
    <w:rsid w:val="00FD5C1F"/>
    <w:rsid w:val="00FE0B04"/>
    <w:rsid w:val="00FE0F05"/>
    <w:rsid w:val="00FE159F"/>
    <w:rsid w:val="00FE16EF"/>
    <w:rsid w:val="00FE1C6F"/>
    <w:rsid w:val="00FE34E2"/>
    <w:rsid w:val="00FE64F0"/>
    <w:rsid w:val="00FF1DDD"/>
    <w:rsid w:val="00FF244D"/>
    <w:rsid w:val="00FF32CD"/>
    <w:rsid w:val="00FF481B"/>
    <w:rsid w:val="00FF6371"/>
    <w:rsid w:val="00FF73AE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7CC70"/>
  <w15:chartTrackingRefBased/>
  <w15:docId w15:val="{077A3BDF-BD9D-4ADC-B414-5EB9560B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B44"/>
  </w:style>
  <w:style w:type="paragraph" w:styleId="Heading1">
    <w:name w:val="heading 1"/>
    <w:basedOn w:val="Normal"/>
    <w:next w:val="Normal"/>
    <w:link w:val="Heading1Char"/>
    <w:uiPriority w:val="9"/>
    <w:qFormat/>
    <w:rsid w:val="00400B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B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B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B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B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B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B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B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B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B44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customStyle="1" w:styleId="Body">
    <w:name w:val="Body"/>
    <w:rsid w:val="00E403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AU"/>
    </w:rPr>
  </w:style>
  <w:style w:type="table" w:styleId="TableGrid">
    <w:name w:val="Table Grid"/>
    <w:basedOn w:val="TableNormal"/>
    <w:uiPriority w:val="39"/>
    <w:rsid w:val="00E403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403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03D8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unhideWhenUsed/>
    <w:rsid w:val="00E403D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400B44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0B44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NoSpacing">
    <w:name w:val="No Spacing"/>
    <w:uiPriority w:val="1"/>
    <w:qFormat/>
    <w:rsid w:val="00400B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3D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1B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B6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101B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B6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78"/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B44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B44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B44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B44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B44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B44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0B44"/>
    <w:pPr>
      <w:spacing w:line="240" w:lineRule="auto"/>
    </w:pPr>
    <w:rPr>
      <w:b/>
      <w:bCs/>
      <w:smallCaps/>
      <w:color w:val="14619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00B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00B44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B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B44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00B44"/>
    <w:rPr>
      <w:b/>
      <w:bCs/>
    </w:rPr>
  </w:style>
  <w:style w:type="character" w:styleId="Emphasis">
    <w:name w:val="Emphasis"/>
    <w:basedOn w:val="DefaultParagraphFont"/>
    <w:uiPriority w:val="20"/>
    <w:qFormat/>
    <w:rsid w:val="00400B4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00B44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0B44"/>
    <w:rPr>
      <w:color w:val="14619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B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B44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00B4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00B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00B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00B44"/>
    <w:rPr>
      <w:b/>
      <w:bCs/>
      <w:smallCaps/>
      <w:color w:val="14619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00B4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0B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17.07.20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V1.23_12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12.07.20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12.07.20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V1.27_12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V1.27_12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17.07.20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V1.06_12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V1.13_12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V1.14_12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V1.15_12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V1.15_12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17.07.20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facs365-my.sharepoint.com/personal/ken_ly_adc_nsw_gov_au/Documents/Desktop/Ken%20Work%20Files/06.%20Senior%20Analyst/04.%20Assignments/5.0.%20Resolve%20Application%20-%201-Year%20Report/FY24%20-%20ADC%20Report/FY24%20Yearly%20-%20ADC%20Report_V1.23_12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316B8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'[FY24 Yearly - ADC Report_17.07.2024_DRAFT_V2.00.xlsx]Number of Calls'!$O$37:$V$37</c:f>
              <c:strCache>
                <c:ptCount val="8"/>
                <c:pt idx="0">
                  <c:v>Jul-Sep 2022</c:v>
                </c:pt>
                <c:pt idx="1">
                  <c:v>Oct-Dec 2022</c:v>
                </c:pt>
                <c:pt idx="2">
                  <c:v>Jan-Mar 2023</c:v>
                </c:pt>
                <c:pt idx="3">
                  <c:v>Apr-Jun 2023</c:v>
                </c:pt>
                <c:pt idx="4">
                  <c:v>Jul-Sep 2023</c:v>
                </c:pt>
                <c:pt idx="5">
                  <c:v>Oct-Dec 2023</c:v>
                </c:pt>
                <c:pt idx="6">
                  <c:v>Jan-Mar 2024</c:v>
                </c:pt>
                <c:pt idx="7">
                  <c:v>Apr-Jun 2024</c:v>
                </c:pt>
              </c:strCache>
            </c:strRef>
          </c:cat>
          <c:val>
            <c:numRef>
              <c:f>'[FY24 Yearly - ADC Report_17.07.2024_DRAFT_V2.00.xlsx]Number of Calls'!$O$38:$V$38</c:f>
              <c:numCache>
                <c:formatCode>_-* #,##0_-;\-* #,##0_-;_-* "-"??_-;_-@_-</c:formatCode>
                <c:ptCount val="8"/>
                <c:pt idx="0">
                  <c:v>3547</c:v>
                </c:pt>
                <c:pt idx="1">
                  <c:v>3253</c:v>
                </c:pt>
                <c:pt idx="2">
                  <c:v>3583</c:v>
                </c:pt>
                <c:pt idx="3">
                  <c:v>3642</c:v>
                </c:pt>
                <c:pt idx="4">
                  <c:v>4553</c:v>
                </c:pt>
                <c:pt idx="5">
                  <c:v>4144</c:v>
                </c:pt>
                <c:pt idx="6">
                  <c:v>4185</c:v>
                </c:pt>
                <c:pt idx="7">
                  <c:v>4460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04-4CF2-B950-78A540C93C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3662760"/>
        <c:axId val="703664560"/>
      </c:barChart>
      <c:catAx>
        <c:axId val="703662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3664560"/>
        <c:crosses val="autoZero"/>
        <c:auto val="1"/>
        <c:lblAlgn val="ctr"/>
        <c:lblOffset val="100"/>
        <c:noMultiLvlLbl val="0"/>
      </c:catAx>
      <c:valAx>
        <c:axId val="70366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3662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'[FY24 Yearly - ADC Report_V1.23_12.07.2024.xlsx]RPTER Relationship to PERSON'!$C$1151</c:f>
              <c:strCache>
                <c:ptCount val="1"/>
                <c:pt idx="0">
                  <c:v>Number</c:v>
                </c:pt>
              </c:strCache>
            </c:strRef>
          </c:tx>
          <c:spPr>
            <a:solidFill>
              <a:srgbClr val="316B8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'[FY24 Yearly - ADC Report_V1.23_12.07.2024.xlsx]RPTER Relationship to PERSON'!$B$1152:$B$1165</c:f>
              <c:strCache>
                <c:ptCount val="14"/>
                <c:pt idx="0">
                  <c:v>Spouse or Partner</c:v>
                </c:pt>
                <c:pt idx="1">
                  <c:v>Grandchild</c:v>
                </c:pt>
                <c:pt idx="2">
                  <c:v>Primary Carer</c:v>
                </c:pt>
                <c:pt idx="3">
                  <c:v>Neighbour</c:v>
                </c:pt>
                <c:pt idx="4">
                  <c:v>Unknown or Not Disclosed</c:v>
                </c:pt>
                <c:pt idx="5">
                  <c:v>Sibling</c:v>
                </c:pt>
                <c:pt idx="6">
                  <c:v>Child</c:v>
                </c:pt>
                <c:pt idx="7">
                  <c:v>Advocate</c:v>
                </c:pt>
                <c:pt idx="8">
                  <c:v>Other Relative</c:v>
                </c:pt>
                <c:pt idx="9">
                  <c:v>Friend</c:v>
                </c:pt>
                <c:pt idx="10">
                  <c:v>Parent</c:v>
                </c:pt>
                <c:pt idx="11">
                  <c:v>Person Experiencing Abuse</c:v>
                </c:pt>
                <c:pt idx="12">
                  <c:v>Other</c:v>
                </c:pt>
                <c:pt idx="13">
                  <c:v>Paid Worker</c:v>
                </c:pt>
              </c:strCache>
            </c:strRef>
          </c:cat>
          <c:val>
            <c:numRef>
              <c:f>'[FY24 Yearly - ADC Report_V1.23_12.07.2024.xlsx]RPTER Relationship to PERSON'!$C$1152:$C$1165</c:f>
              <c:numCache>
                <c:formatCode>[$-1010409]General</c:formatCode>
                <c:ptCount val="14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11</c:v>
                </c:pt>
                <c:pt idx="4">
                  <c:v>16</c:v>
                </c:pt>
                <c:pt idx="5">
                  <c:v>18</c:v>
                </c:pt>
                <c:pt idx="6">
                  <c:v>20</c:v>
                </c:pt>
                <c:pt idx="7">
                  <c:v>24</c:v>
                </c:pt>
                <c:pt idx="8">
                  <c:v>27</c:v>
                </c:pt>
                <c:pt idx="9">
                  <c:v>29</c:v>
                </c:pt>
                <c:pt idx="10">
                  <c:v>34</c:v>
                </c:pt>
                <c:pt idx="11">
                  <c:v>117</c:v>
                </c:pt>
                <c:pt idx="12">
                  <c:v>137</c:v>
                </c:pt>
                <c:pt idx="13">
                  <c:v>659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CD-41F9-A141-DA82FB6703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09620360"/>
        <c:axId val="909627200"/>
      </c:barChart>
      <c:catAx>
        <c:axId val="909620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09627200"/>
        <c:crosses val="autoZero"/>
        <c:auto val="1"/>
        <c:lblAlgn val="ctr"/>
        <c:lblOffset val="100"/>
        <c:noMultiLvlLbl val="0"/>
      </c:catAx>
      <c:valAx>
        <c:axId val="909627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10409]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09620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'[FY24 Yearly - ADC Report_12.07.2024_DRAFT_V1.01.xlsx]PSOA Relationship to PERSON'!$L$1234</c:f>
              <c:strCache>
                <c:ptCount val="1"/>
                <c:pt idx="0">
                  <c:v>Number</c:v>
                </c:pt>
              </c:strCache>
            </c:strRef>
          </c:tx>
          <c:spPr>
            <a:solidFill>
              <a:srgbClr val="316B8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'[FY24 Yearly - ADC Report_12.07.2024_DRAFT_V1.01.xlsx]PSOA Relationship to PERSON'!$K$1235:$K$1247</c:f>
              <c:strCache>
                <c:ptCount val="13"/>
                <c:pt idx="0">
                  <c:v>Parent</c:v>
                </c:pt>
                <c:pt idx="1">
                  <c:v>Former paid staff</c:v>
                </c:pt>
                <c:pt idx="2">
                  <c:v>Other community member</c:v>
                </c:pt>
                <c:pt idx="3">
                  <c:v>Ex-spouse/partner</c:v>
                </c:pt>
                <c:pt idx="4">
                  <c:v>Sibling</c:v>
                </c:pt>
                <c:pt idx="5">
                  <c:v>Unknown</c:v>
                </c:pt>
                <c:pt idx="6">
                  <c:v>Neighbour</c:v>
                </c:pt>
                <c:pt idx="7">
                  <c:v>Other relative</c:v>
                </c:pt>
                <c:pt idx="8">
                  <c:v>Other</c:v>
                </c:pt>
                <c:pt idx="9">
                  <c:v>Friend</c:v>
                </c:pt>
                <c:pt idx="10">
                  <c:v>Paid staff</c:v>
                </c:pt>
                <c:pt idx="11">
                  <c:v>Spouse/partner</c:v>
                </c:pt>
                <c:pt idx="12">
                  <c:v>Child</c:v>
                </c:pt>
              </c:strCache>
            </c:strRef>
          </c:cat>
          <c:val>
            <c:numRef>
              <c:f>'[FY24 Yearly - ADC Report_12.07.2024_DRAFT_V1.01.xlsx]PSOA Relationship to PERSON'!$L$1235:$L$1247</c:f>
              <c:numCache>
                <c:formatCode>General</c:formatCode>
                <c:ptCount val="13"/>
                <c:pt idx="0">
                  <c:v>7</c:v>
                </c:pt>
                <c:pt idx="1">
                  <c:v>17</c:v>
                </c:pt>
                <c:pt idx="2">
                  <c:v>61</c:v>
                </c:pt>
                <c:pt idx="3">
                  <c:v>64</c:v>
                </c:pt>
                <c:pt idx="4">
                  <c:v>94</c:v>
                </c:pt>
                <c:pt idx="5">
                  <c:v>99</c:v>
                </c:pt>
                <c:pt idx="6">
                  <c:v>118</c:v>
                </c:pt>
                <c:pt idx="7">
                  <c:v>135</c:v>
                </c:pt>
                <c:pt idx="8">
                  <c:v>151</c:v>
                </c:pt>
                <c:pt idx="9">
                  <c:v>207</c:v>
                </c:pt>
                <c:pt idx="10">
                  <c:v>211</c:v>
                </c:pt>
                <c:pt idx="11">
                  <c:v>425</c:v>
                </c:pt>
                <c:pt idx="12">
                  <c:v>2115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7D-4DE7-817F-1B25F2B0E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31548728"/>
        <c:axId val="1031542608"/>
      </c:barChart>
      <c:catAx>
        <c:axId val="1031548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31542608"/>
        <c:crosses val="autoZero"/>
        <c:auto val="1"/>
        <c:lblAlgn val="ctr"/>
        <c:lblOffset val="100"/>
        <c:noMultiLvlLbl val="0"/>
      </c:catAx>
      <c:valAx>
        <c:axId val="1031542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31548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'[FY24 Yearly - ADC Report_12.07.2024_DRAFT_V1.01.xlsx]PSOA Relationship to PERSON'!$D$1234</c:f>
              <c:strCache>
                <c:ptCount val="1"/>
                <c:pt idx="0">
                  <c:v>Number</c:v>
                </c:pt>
              </c:strCache>
            </c:strRef>
          </c:tx>
          <c:spPr>
            <a:solidFill>
              <a:srgbClr val="316B8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'[FY24 Yearly - ADC Report_12.07.2024_DRAFT_V1.01.xlsx]PSOA Relationship to PERSON'!$C$1235:$C$1248</c:f>
              <c:strCache>
                <c:ptCount val="14"/>
                <c:pt idx="0">
                  <c:v>Ex foster carer</c:v>
                </c:pt>
                <c:pt idx="1">
                  <c:v>Former paid staff</c:v>
                </c:pt>
                <c:pt idx="2">
                  <c:v>Other community member</c:v>
                </c:pt>
                <c:pt idx="3">
                  <c:v>Neighbour</c:v>
                </c:pt>
                <c:pt idx="4">
                  <c:v>Ex-spouse/partner</c:v>
                </c:pt>
                <c:pt idx="5">
                  <c:v>Other relative</c:v>
                </c:pt>
                <c:pt idx="6">
                  <c:v>Unknown</c:v>
                </c:pt>
                <c:pt idx="7">
                  <c:v>Friend</c:v>
                </c:pt>
                <c:pt idx="8">
                  <c:v>Other</c:v>
                </c:pt>
                <c:pt idx="9">
                  <c:v>Sibling</c:v>
                </c:pt>
                <c:pt idx="10">
                  <c:v>Child</c:v>
                </c:pt>
                <c:pt idx="11">
                  <c:v>Spouse/partner</c:v>
                </c:pt>
                <c:pt idx="12">
                  <c:v>Paid staff</c:v>
                </c:pt>
                <c:pt idx="13">
                  <c:v>Parent</c:v>
                </c:pt>
              </c:strCache>
            </c:strRef>
          </c:cat>
          <c:val>
            <c:numRef>
              <c:f>'[FY24 Yearly - ADC Report_12.07.2024_DRAFT_V1.01.xlsx]PSOA Relationship to PERSON'!$D$1235:$D$1248</c:f>
              <c:numCache>
                <c:formatCode>General</c:formatCode>
                <c:ptCount val="14"/>
                <c:pt idx="0">
                  <c:v>3</c:v>
                </c:pt>
                <c:pt idx="1">
                  <c:v>5</c:v>
                </c:pt>
                <c:pt idx="2">
                  <c:v>22</c:v>
                </c:pt>
                <c:pt idx="3">
                  <c:v>28</c:v>
                </c:pt>
                <c:pt idx="4">
                  <c:v>30</c:v>
                </c:pt>
                <c:pt idx="5">
                  <c:v>30</c:v>
                </c:pt>
                <c:pt idx="6">
                  <c:v>36</c:v>
                </c:pt>
                <c:pt idx="7">
                  <c:v>51</c:v>
                </c:pt>
                <c:pt idx="8">
                  <c:v>67</c:v>
                </c:pt>
                <c:pt idx="9">
                  <c:v>85</c:v>
                </c:pt>
                <c:pt idx="10">
                  <c:v>86</c:v>
                </c:pt>
                <c:pt idx="11">
                  <c:v>116</c:v>
                </c:pt>
                <c:pt idx="12">
                  <c:v>161</c:v>
                </c:pt>
                <c:pt idx="13">
                  <c:v>382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7E-473F-BA7B-9C684D495D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86347864"/>
        <c:axId val="986348224"/>
      </c:barChart>
      <c:catAx>
        <c:axId val="986347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86348224"/>
        <c:crosses val="autoZero"/>
        <c:auto val="1"/>
        <c:lblAlgn val="ctr"/>
        <c:lblOffset val="100"/>
        <c:noMultiLvlLbl val="0"/>
      </c:catAx>
      <c:valAx>
        <c:axId val="986348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86347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'[FY24 Yearly - ADC Report_V1.27_12.07.2024.xlsx]Type of Abuse'!$P$2068</c:f>
              <c:strCache>
                <c:ptCount val="1"/>
                <c:pt idx="0">
                  <c:v>Number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/>
              </a:scene3d>
              <a:sp3d prstMaterial="plastic">
                <a:bevelT w="25400" h="25400"/>
              </a:sp3d>
            </c:spPr>
            <c:extLst>
              <c:ext xmlns:c16="http://schemas.microsoft.com/office/drawing/2014/chart" uri="{C3380CC4-5D6E-409C-BE32-E72D297353CC}">
                <c16:uniqueId val="{00000001-5AFA-4689-9A5A-D92FEEB5A83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/>
              </a:scene3d>
              <a:sp3d prstMaterial="plastic">
                <a:bevelT w="25400" h="25400"/>
              </a:sp3d>
            </c:spPr>
            <c:extLst>
              <c:ext xmlns:c16="http://schemas.microsoft.com/office/drawing/2014/chart" uri="{C3380CC4-5D6E-409C-BE32-E72D297353CC}">
                <c16:uniqueId val="{00000003-5AFA-4689-9A5A-D92FEEB5A83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/>
              </a:scene3d>
              <a:sp3d prstMaterial="plastic">
                <a:bevelT w="25400" h="25400"/>
              </a:sp3d>
            </c:spPr>
            <c:extLst>
              <c:ext xmlns:c16="http://schemas.microsoft.com/office/drawing/2014/chart" uri="{C3380CC4-5D6E-409C-BE32-E72D297353CC}">
                <c16:uniqueId val="{00000005-5AFA-4689-9A5A-D92FEEB5A83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/>
              </a:scene3d>
              <a:sp3d prstMaterial="plastic">
                <a:bevelT w="25400" h="25400"/>
              </a:sp3d>
            </c:spPr>
            <c:extLst>
              <c:ext xmlns:c16="http://schemas.microsoft.com/office/drawing/2014/chart" uri="{C3380CC4-5D6E-409C-BE32-E72D297353CC}">
                <c16:uniqueId val="{00000007-5AFA-4689-9A5A-D92FEEB5A83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/>
              </a:scene3d>
              <a:sp3d prstMaterial="plastic">
                <a:bevelT w="25400" h="25400"/>
              </a:sp3d>
            </c:spPr>
            <c:extLst>
              <c:ext xmlns:c16="http://schemas.microsoft.com/office/drawing/2014/chart" uri="{C3380CC4-5D6E-409C-BE32-E72D297353CC}">
                <c16:uniqueId val="{00000009-5AFA-4689-9A5A-D92FEEB5A83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/>
              </a:scene3d>
              <a:sp3d prstMaterial="plastic">
                <a:bevelT w="25400" h="25400"/>
              </a:sp3d>
            </c:spPr>
            <c:extLst>
              <c:ext xmlns:c16="http://schemas.microsoft.com/office/drawing/2014/chart" uri="{C3380CC4-5D6E-409C-BE32-E72D297353CC}">
                <c16:uniqueId val="{0000000B-5AFA-4689-9A5A-D92FEEB5A838}"/>
              </c:ext>
            </c:extLst>
          </c:dPt>
          <c:dLbls>
            <c:dLbl>
              <c:idx val="0"/>
              <c:layout>
                <c:manualLayout>
                  <c:x val="2.448879227918643E-2"/>
                  <c:y val="5.924752219114294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FA-4689-9A5A-D92FEEB5A838}"/>
                </c:ext>
              </c:extLst>
            </c:dLbl>
            <c:dLbl>
              <c:idx val="1"/>
              <c:layout>
                <c:manualLayout>
                  <c:x val="-3.3409512437421449E-2"/>
                  <c:y val="1.4550922407799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FA-4689-9A5A-D92FEEB5A838}"/>
                </c:ext>
              </c:extLst>
            </c:dLbl>
            <c:dLbl>
              <c:idx val="2"/>
              <c:layout>
                <c:manualLayout>
                  <c:x val="-2.1284157451063917E-2"/>
                  <c:y val="2.094714546718617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AFA-4689-9A5A-D92FEEB5A838}"/>
                </c:ext>
              </c:extLst>
            </c:dLbl>
            <c:dLbl>
              <c:idx val="3"/>
              <c:layout>
                <c:manualLayout>
                  <c:x val="-7.3232002837351387E-2"/>
                  <c:y val="3.821015699526265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AFA-4689-9A5A-D92FEEB5A838}"/>
                </c:ext>
              </c:extLst>
            </c:dLbl>
            <c:dLbl>
              <c:idx val="4"/>
              <c:layout>
                <c:manualLayout>
                  <c:x val="-6.9450391141321025E-2"/>
                  <c:y val="3.807983960937121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AFA-4689-9A5A-D92FEEB5A838}"/>
                </c:ext>
              </c:extLst>
            </c:dLbl>
            <c:dLbl>
              <c:idx val="5"/>
              <c:layout>
                <c:manualLayout>
                  <c:x val="8.5298790286459147E-2"/>
                  <c:y val="-2.803925689986903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AFA-4689-9A5A-D92FEEB5A8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'[FY24 Yearly - ADC Report_V1.27_12.07.2024.xlsx]Type of Abuse'!$N$2069:$N$2074</c:f>
              <c:strCache>
                <c:ptCount val="6"/>
                <c:pt idx="0">
                  <c:v>Psychological abuse</c:v>
                </c:pt>
                <c:pt idx="1">
                  <c:v>Financial abuse</c:v>
                </c:pt>
                <c:pt idx="2">
                  <c:v>Neglect</c:v>
                </c:pt>
                <c:pt idx="3">
                  <c:v>Physical abuse</c:v>
                </c:pt>
                <c:pt idx="4">
                  <c:v>Other</c:v>
                </c:pt>
                <c:pt idx="5">
                  <c:v>Sexual abuse</c:v>
                </c:pt>
              </c:strCache>
            </c:strRef>
          </c:cat>
          <c:val>
            <c:numRef>
              <c:f>'[FY24 Yearly - ADC Report_V1.27_12.07.2024.xlsx]Type of Abuse'!$P$2069:$P$2074</c:f>
              <c:numCache>
                <c:formatCode>0.0%</c:formatCode>
                <c:ptCount val="6"/>
                <c:pt idx="0">
                  <c:v>0.37275521760232971</c:v>
                </c:pt>
                <c:pt idx="1">
                  <c:v>0.31289435366445562</c:v>
                </c:pt>
                <c:pt idx="2">
                  <c:v>0.23103057757644394</c:v>
                </c:pt>
                <c:pt idx="3">
                  <c:v>6.8435528231677728E-2</c:v>
                </c:pt>
                <c:pt idx="4">
                  <c:v>9.545381006309658E-3</c:v>
                </c:pt>
                <c:pt idx="5">
                  <c:v>5.3389419187833687E-3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AFA-4689-9A5A-D92FEEB5A83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/>
              </a:scene3d>
              <a:sp3d prstMaterial="plastic">
                <a:bevelT w="25400" h="25400"/>
              </a:sp3d>
            </c:spPr>
            <c:extLst>
              <c:ext xmlns:c16="http://schemas.microsoft.com/office/drawing/2014/chart" uri="{C3380CC4-5D6E-409C-BE32-E72D297353CC}">
                <c16:uniqueId val="{00000001-E09D-45DB-9CA4-CB0D854D115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/>
              </a:scene3d>
              <a:sp3d prstMaterial="plastic">
                <a:bevelT w="25400" h="25400"/>
              </a:sp3d>
            </c:spPr>
            <c:extLst>
              <c:ext xmlns:c16="http://schemas.microsoft.com/office/drawing/2014/chart" uri="{C3380CC4-5D6E-409C-BE32-E72D297353CC}">
                <c16:uniqueId val="{00000003-E09D-45DB-9CA4-CB0D854D115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/>
              </a:scene3d>
              <a:sp3d prstMaterial="plastic">
                <a:bevelT w="25400" h="25400"/>
              </a:sp3d>
            </c:spPr>
            <c:extLst>
              <c:ext xmlns:c16="http://schemas.microsoft.com/office/drawing/2014/chart" uri="{C3380CC4-5D6E-409C-BE32-E72D297353CC}">
                <c16:uniqueId val="{00000005-E09D-45DB-9CA4-CB0D854D115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/>
              </a:scene3d>
              <a:sp3d prstMaterial="plastic">
                <a:bevelT w="25400" h="25400"/>
              </a:sp3d>
            </c:spPr>
            <c:extLst>
              <c:ext xmlns:c16="http://schemas.microsoft.com/office/drawing/2014/chart" uri="{C3380CC4-5D6E-409C-BE32-E72D297353CC}">
                <c16:uniqueId val="{00000007-E09D-45DB-9CA4-CB0D854D115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/>
              </a:scene3d>
              <a:sp3d prstMaterial="plastic">
                <a:bevelT w="25400" h="25400"/>
              </a:sp3d>
            </c:spPr>
            <c:extLst>
              <c:ext xmlns:c16="http://schemas.microsoft.com/office/drawing/2014/chart" uri="{C3380CC4-5D6E-409C-BE32-E72D297353CC}">
                <c16:uniqueId val="{00000009-E09D-45DB-9CA4-CB0D854D115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/>
              </a:scene3d>
              <a:sp3d prstMaterial="plastic">
                <a:bevelT w="25400" h="25400"/>
              </a:sp3d>
            </c:spPr>
            <c:extLst>
              <c:ext xmlns:c16="http://schemas.microsoft.com/office/drawing/2014/chart" uri="{C3380CC4-5D6E-409C-BE32-E72D297353CC}">
                <c16:uniqueId val="{0000000B-E09D-45DB-9CA4-CB0D854D115B}"/>
              </c:ext>
            </c:extLst>
          </c:dPt>
          <c:dLbls>
            <c:dLbl>
              <c:idx val="0"/>
              <c:layout>
                <c:manualLayout>
                  <c:x val="4.3315702377851741E-2"/>
                  <c:y val="2.49234753390962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9D-45DB-9CA4-CB0D854D115B}"/>
                </c:ext>
              </c:extLst>
            </c:dLbl>
            <c:dLbl>
              <c:idx val="1"/>
              <c:layout>
                <c:manualLayout>
                  <c:x val="1.041814182735396E-2"/>
                  <c:y val="1.99632681627661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9D-45DB-9CA4-CB0D854D115B}"/>
                </c:ext>
              </c:extLst>
            </c:dLbl>
            <c:dLbl>
              <c:idx val="2"/>
              <c:layout>
                <c:manualLayout>
                  <c:x val="-2.6182612596642625E-2"/>
                  <c:y val="-1.312200262101856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9D-45DB-9CA4-CB0D854D115B}"/>
                </c:ext>
              </c:extLst>
            </c:dLbl>
            <c:dLbl>
              <c:idx val="3"/>
              <c:layout>
                <c:manualLayout>
                  <c:x val="-6.5917722427823178E-2"/>
                  <c:y val="2.108432508771957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09D-45DB-9CA4-CB0D854D115B}"/>
                </c:ext>
              </c:extLst>
            </c:dLbl>
            <c:dLbl>
              <c:idx val="4"/>
              <c:layout>
                <c:manualLayout>
                  <c:x val="-3.6153725030377996E-2"/>
                  <c:y val="-1.689100852848752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09D-45DB-9CA4-CB0D854D115B}"/>
                </c:ext>
              </c:extLst>
            </c:dLbl>
            <c:dLbl>
              <c:idx val="5"/>
              <c:layout>
                <c:manualLayout>
                  <c:x val="9.0853029926409493E-2"/>
                  <c:y val="-5.2661492477488834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09D-45DB-9CA4-CB0D854D11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'[FY24 Yearly - ADC Report_V1.27_12.07.2024.xlsx]Type of Abuse'!$D$2069:$D$2074</c:f>
              <c:strCache>
                <c:ptCount val="6"/>
                <c:pt idx="0">
                  <c:v>Psychological abuse</c:v>
                </c:pt>
                <c:pt idx="1">
                  <c:v>Neglect</c:v>
                </c:pt>
                <c:pt idx="2">
                  <c:v>Financial abuse</c:v>
                </c:pt>
                <c:pt idx="3">
                  <c:v>Physical abuse</c:v>
                </c:pt>
                <c:pt idx="4">
                  <c:v>Sexual abuse</c:v>
                </c:pt>
                <c:pt idx="5">
                  <c:v>Other</c:v>
                </c:pt>
              </c:strCache>
            </c:strRef>
          </c:cat>
          <c:val>
            <c:numRef>
              <c:f>'[FY24 Yearly - ADC Report_V1.27_12.07.2024.xlsx]Type of Abuse'!$F$2069:$F$2074</c:f>
              <c:numCache>
                <c:formatCode>0.0%</c:formatCode>
                <c:ptCount val="6"/>
                <c:pt idx="0">
                  <c:v>0.38</c:v>
                </c:pt>
                <c:pt idx="1">
                  <c:v>0.26100000000000001</c:v>
                </c:pt>
                <c:pt idx="2">
                  <c:v>0.19500000000000001</c:v>
                </c:pt>
                <c:pt idx="3">
                  <c:v>0.11550000000000001</c:v>
                </c:pt>
                <c:pt idx="4">
                  <c:v>3.7999999999999999E-2</c:v>
                </c:pt>
                <c:pt idx="5">
                  <c:v>1.0500000000000001E-2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09D-45DB-9CA4-CB0D854D115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38100" cap="rnd" cmpd="sng" algn="ctr">
              <a:solidFill>
                <a:schemeClr val="accent1"/>
              </a:solidFill>
              <a:prstDash val="solid"/>
              <a:round/>
              <a:headEnd type="none"/>
              <a:tailEnd type="triangle"/>
            </a:ln>
            <a:effectLst/>
          </c:spPr>
          <c:marker>
            <c:symbol val="none"/>
          </c:marker>
          <c:cat>
            <c:strRef>
              <c:f>'[FY24 Yearly - ADC Report_17.07.2024_DRAFT_V2.00.xlsx]Number of Calls'!$C$37:$V$37</c:f>
              <c:strCache>
                <c:ptCount val="20"/>
                <c:pt idx="0">
                  <c:v>Jul-Sep 2019</c:v>
                </c:pt>
                <c:pt idx="1">
                  <c:v>Oct-Dec 2019</c:v>
                </c:pt>
                <c:pt idx="2">
                  <c:v>Jan-Mar 2020</c:v>
                </c:pt>
                <c:pt idx="3">
                  <c:v>Apr-Jun 2020</c:v>
                </c:pt>
                <c:pt idx="4">
                  <c:v>Jul-Sep 2020</c:v>
                </c:pt>
                <c:pt idx="5">
                  <c:v>Oct-Dec 2020</c:v>
                </c:pt>
                <c:pt idx="6">
                  <c:v>Jan-Mar 2021</c:v>
                </c:pt>
                <c:pt idx="7">
                  <c:v>Apr-Jun 2021</c:v>
                </c:pt>
                <c:pt idx="8">
                  <c:v>Jul-Sep 2021</c:v>
                </c:pt>
                <c:pt idx="9">
                  <c:v>Oct-Dec 2021</c:v>
                </c:pt>
                <c:pt idx="10">
                  <c:v>Jan-Mar 2022</c:v>
                </c:pt>
                <c:pt idx="11">
                  <c:v>Apr-Jun 2022</c:v>
                </c:pt>
                <c:pt idx="12">
                  <c:v>Jul-Sep 2022</c:v>
                </c:pt>
                <c:pt idx="13">
                  <c:v>Oct-Dec 2022</c:v>
                </c:pt>
                <c:pt idx="14">
                  <c:v>Jan-Mar 2023</c:v>
                </c:pt>
                <c:pt idx="15">
                  <c:v>Apr-Jun 2023</c:v>
                </c:pt>
                <c:pt idx="16">
                  <c:v>Jul-Sep 2023</c:v>
                </c:pt>
                <c:pt idx="17">
                  <c:v>Oct-Dec 2023</c:v>
                </c:pt>
                <c:pt idx="18">
                  <c:v>Jan-Mar 2024</c:v>
                </c:pt>
                <c:pt idx="19">
                  <c:v>Apr-Jun 2024</c:v>
                </c:pt>
              </c:strCache>
            </c:strRef>
          </c:cat>
          <c:val>
            <c:numRef>
              <c:f>'[FY24 Yearly - ADC Report_17.07.2024_DRAFT_V2.00.xlsx]Number of Calls'!$C$38:$V$38</c:f>
              <c:numCache>
                <c:formatCode>_-* #,##0_-;\-* #,##0_-;_-* "-"??_-;_-@_-</c:formatCode>
                <c:ptCount val="20"/>
                <c:pt idx="0">
                  <c:v>2454</c:v>
                </c:pt>
                <c:pt idx="1">
                  <c:v>2224</c:v>
                </c:pt>
                <c:pt idx="2">
                  <c:v>2677</c:v>
                </c:pt>
                <c:pt idx="3">
                  <c:v>3088</c:v>
                </c:pt>
                <c:pt idx="4">
                  <c:v>3459</c:v>
                </c:pt>
                <c:pt idx="5">
                  <c:v>2751</c:v>
                </c:pt>
                <c:pt idx="6">
                  <c:v>3752</c:v>
                </c:pt>
                <c:pt idx="7">
                  <c:v>3128</c:v>
                </c:pt>
                <c:pt idx="8">
                  <c:v>2951</c:v>
                </c:pt>
                <c:pt idx="9">
                  <c:v>2786</c:v>
                </c:pt>
                <c:pt idx="10">
                  <c:v>3894</c:v>
                </c:pt>
                <c:pt idx="11">
                  <c:v>2930</c:v>
                </c:pt>
                <c:pt idx="12">
                  <c:v>3547</c:v>
                </c:pt>
                <c:pt idx="13">
                  <c:v>3253</c:v>
                </c:pt>
                <c:pt idx="14">
                  <c:v>3583</c:v>
                </c:pt>
                <c:pt idx="15">
                  <c:v>3642</c:v>
                </c:pt>
                <c:pt idx="16">
                  <c:v>4553</c:v>
                </c:pt>
                <c:pt idx="17">
                  <c:v>4144</c:v>
                </c:pt>
                <c:pt idx="18">
                  <c:v>4185</c:v>
                </c:pt>
                <c:pt idx="19">
                  <c:v>4460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7E-4E54-91AE-271C9D7324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5875" cap="flat" cmpd="thickThin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782580264"/>
        <c:axId val="782583504"/>
      </c:lineChart>
      <c:catAx>
        <c:axId val="782580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2583504"/>
        <c:crosses val="autoZero"/>
        <c:auto val="1"/>
        <c:lblAlgn val="ctr"/>
        <c:lblOffset val="100"/>
        <c:noMultiLvlLbl val="0"/>
      </c:catAx>
      <c:valAx>
        <c:axId val="782583504"/>
        <c:scaling>
          <c:orientation val="minMax"/>
        </c:scaling>
        <c:delete val="0"/>
        <c:axPos val="l"/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2580264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'[FY24 Yearly - ADC Report_V1.06_12.07.2024.xlsx]Number of Enquiries and Reports'!$C$117</c:f>
              <c:strCache>
                <c:ptCount val="1"/>
                <c:pt idx="0">
                  <c:v>2023-24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'[FY24 Yearly - ADC Report_V1.06_12.07.2024.xlsx]Number of Enquiries and Reports'!$D$116:$O$116</c:f>
              <c:strCache>
                <c:ptCount val="12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'[FY24 Yearly - ADC Report_V1.06_12.07.2024.xlsx]Number of Enquiries and Reports'!$D$117:$O$117</c:f>
              <c:numCache>
                <c:formatCode>General</c:formatCode>
                <c:ptCount val="12"/>
                <c:pt idx="0">
                  <c:v>479</c:v>
                </c:pt>
                <c:pt idx="1">
                  <c:v>453</c:v>
                </c:pt>
                <c:pt idx="2">
                  <c:v>407</c:v>
                </c:pt>
                <c:pt idx="3">
                  <c:v>359</c:v>
                </c:pt>
                <c:pt idx="4">
                  <c:v>378</c:v>
                </c:pt>
                <c:pt idx="5">
                  <c:v>330</c:v>
                </c:pt>
                <c:pt idx="6">
                  <c:v>429</c:v>
                </c:pt>
                <c:pt idx="7">
                  <c:v>507</c:v>
                </c:pt>
                <c:pt idx="8">
                  <c:v>387</c:v>
                </c:pt>
                <c:pt idx="9">
                  <c:v>384</c:v>
                </c:pt>
                <c:pt idx="10">
                  <c:v>380</c:v>
                </c:pt>
                <c:pt idx="11">
                  <c:v>313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BF8-4696-BE98-E2B56FE4BC37}"/>
            </c:ext>
          </c:extLst>
        </c:ser>
        <c:ser>
          <c:idx val="1"/>
          <c:order val="1"/>
          <c:tx>
            <c:strRef>
              <c:f>'[FY24 Yearly - ADC Report_V1.06_12.07.2024.xlsx]Number of Enquiries and Reports'!$C$118</c:f>
              <c:strCache>
                <c:ptCount val="1"/>
                <c:pt idx="0">
                  <c:v>2022-23</c:v>
                </c:pt>
              </c:strCache>
            </c:strRef>
          </c:tx>
          <c:spPr>
            <a:ln w="22225" cap="rnd" cmpd="sng" algn="ctr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'[FY24 Yearly - ADC Report_V1.06_12.07.2024.xlsx]Number of Enquiries and Reports'!$D$116:$O$116</c:f>
              <c:strCache>
                <c:ptCount val="12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'[FY24 Yearly - ADC Report_V1.06_12.07.2024.xlsx]Number of Enquiries and Reports'!$D$118:$O$118</c:f>
              <c:numCache>
                <c:formatCode>General</c:formatCode>
                <c:ptCount val="12"/>
                <c:pt idx="0">
                  <c:v>375</c:v>
                </c:pt>
                <c:pt idx="1">
                  <c:v>412</c:v>
                </c:pt>
                <c:pt idx="2">
                  <c:v>328</c:v>
                </c:pt>
                <c:pt idx="3">
                  <c:v>349</c:v>
                </c:pt>
                <c:pt idx="4">
                  <c:v>342</c:v>
                </c:pt>
                <c:pt idx="5">
                  <c:v>251</c:v>
                </c:pt>
                <c:pt idx="6">
                  <c:v>342</c:v>
                </c:pt>
                <c:pt idx="7">
                  <c:v>358</c:v>
                </c:pt>
                <c:pt idx="8">
                  <c:v>432</c:v>
                </c:pt>
                <c:pt idx="9">
                  <c:v>259</c:v>
                </c:pt>
                <c:pt idx="10">
                  <c:v>400</c:v>
                </c:pt>
                <c:pt idx="11">
                  <c:v>410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BF8-4696-BE98-E2B56FE4BC37}"/>
            </c:ext>
          </c:extLst>
        </c:ser>
        <c:ser>
          <c:idx val="2"/>
          <c:order val="2"/>
          <c:tx>
            <c:strRef>
              <c:f>'[FY24 Yearly - ADC Report_V1.06_12.07.2024.xlsx]Number of Enquiries and Reports'!$C$119</c:f>
              <c:strCache>
                <c:ptCount val="1"/>
                <c:pt idx="0">
                  <c:v>2021-22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'[FY24 Yearly - ADC Report_V1.06_12.07.2024.xlsx]Number of Enquiries and Reports'!$D$116:$O$116</c:f>
              <c:strCache>
                <c:ptCount val="12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'[FY24 Yearly - ADC Report_V1.06_12.07.2024.xlsx]Number of Enquiries and Reports'!$D$119:$O$119</c:f>
              <c:numCache>
                <c:formatCode>General</c:formatCode>
                <c:ptCount val="12"/>
                <c:pt idx="0">
                  <c:v>348</c:v>
                </c:pt>
                <c:pt idx="1">
                  <c:v>318</c:v>
                </c:pt>
                <c:pt idx="2">
                  <c:v>272</c:v>
                </c:pt>
                <c:pt idx="3">
                  <c:v>270</c:v>
                </c:pt>
                <c:pt idx="4">
                  <c:v>322</c:v>
                </c:pt>
                <c:pt idx="5">
                  <c:v>350</c:v>
                </c:pt>
                <c:pt idx="6">
                  <c:v>315</c:v>
                </c:pt>
                <c:pt idx="7">
                  <c:v>396</c:v>
                </c:pt>
                <c:pt idx="8">
                  <c:v>400</c:v>
                </c:pt>
                <c:pt idx="9">
                  <c:v>291</c:v>
                </c:pt>
                <c:pt idx="10">
                  <c:v>343</c:v>
                </c:pt>
                <c:pt idx="11">
                  <c:v>350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BF8-4696-BE98-E2B56FE4BC37}"/>
            </c:ext>
          </c:extLst>
        </c:ser>
        <c:ser>
          <c:idx val="3"/>
          <c:order val="3"/>
          <c:tx>
            <c:strRef>
              <c:f>'[FY24 Yearly - ADC Report_V1.06_12.07.2024.xlsx]Number of Enquiries and Reports'!$C$120</c:f>
              <c:strCache>
                <c:ptCount val="1"/>
                <c:pt idx="0">
                  <c:v>2020-21</c:v>
                </c:pt>
              </c:strCache>
            </c:strRef>
          </c:tx>
          <c:spPr>
            <a:ln w="22225" cap="rnd" cmpd="sng" algn="ctr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'[FY24 Yearly - ADC Report_V1.06_12.07.2024.xlsx]Number of Enquiries and Reports'!$D$116:$O$116</c:f>
              <c:strCache>
                <c:ptCount val="12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'[FY24 Yearly - ADC Report_V1.06_12.07.2024.xlsx]Number of Enquiries and Reports'!$D$120:$O$120</c:f>
              <c:numCache>
                <c:formatCode>General</c:formatCode>
                <c:ptCount val="12"/>
                <c:pt idx="0">
                  <c:v>293</c:v>
                </c:pt>
                <c:pt idx="1">
                  <c:v>249</c:v>
                </c:pt>
                <c:pt idx="2">
                  <c:v>294</c:v>
                </c:pt>
                <c:pt idx="3">
                  <c:v>247</c:v>
                </c:pt>
                <c:pt idx="4">
                  <c:v>242</c:v>
                </c:pt>
                <c:pt idx="5">
                  <c:v>273</c:v>
                </c:pt>
                <c:pt idx="6">
                  <c:v>279</c:v>
                </c:pt>
                <c:pt idx="7">
                  <c:v>364</c:v>
                </c:pt>
                <c:pt idx="8">
                  <c:v>382</c:v>
                </c:pt>
                <c:pt idx="9">
                  <c:v>297</c:v>
                </c:pt>
                <c:pt idx="10">
                  <c:v>295</c:v>
                </c:pt>
                <c:pt idx="11">
                  <c:v>351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BF8-4696-BE98-E2B56FE4BC37}"/>
            </c:ext>
          </c:extLst>
        </c:ser>
        <c:ser>
          <c:idx val="4"/>
          <c:order val="4"/>
          <c:tx>
            <c:strRef>
              <c:f>'[FY24 Yearly - ADC Report_V1.06_12.07.2024.xlsx]Number of Enquiries and Reports'!$C$121</c:f>
              <c:strCache>
                <c:ptCount val="1"/>
                <c:pt idx="0">
                  <c:v>2019-20</c:v>
                </c:pt>
              </c:strCache>
            </c:strRef>
          </c:tx>
          <c:spPr>
            <a:ln w="22225" cap="rnd" cmpd="sng" algn="ctr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'[FY24 Yearly - ADC Report_V1.06_12.07.2024.xlsx]Number of Enquiries and Reports'!$D$116:$O$116</c:f>
              <c:strCache>
                <c:ptCount val="12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  <c:pt idx="6">
                  <c:v>January</c:v>
                </c:pt>
                <c:pt idx="7">
                  <c:v>February</c:v>
                </c:pt>
                <c:pt idx="8">
                  <c:v>March</c:v>
                </c:pt>
                <c:pt idx="9">
                  <c:v>April</c:v>
                </c:pt>
                <c:pt idx="10">
                  <c:v>May</c:v>
                </c:pt>
                <c:pt idx="11">
                  <c:v>June</c:v>
                </c:pt>
              </c:strCache>
            </c:strRef>
          </c:cat>
          <c:val>
            <c:numRef>
              <c:f>'[FY24 Yearly - ADC Report_V1.06_12.07.2024.xlsx]Number of Enquiries and Reports'!$D$121:$O$121</c:f>
              <c:numCache>
                <c:formatCode>General</c:formatCode>
                <c:ptCount val="12"/>
                <c:pt idx="0">
                  <c:v>154</c:v>
                </c:pt>
                <c:pt idx="1">
                  <c:v>78</c:v>
                </c:pt>
                <c:pt idx="2">
                  <c:v>157</c:v>
                </c:pt>
                <c:pt idx="3">
                  <c:v>198</c:v>
                </c:pt>
                <c:pt idx="4">
                  <c:v>177</c:v>
                </c:pt>
                <c:pt idx="5">
                  <c:v>165</c:v>
                </c:pt>
                <c:pt idx="6">
                  <c:v>223</c:v>
                </c:pt>
                <c:pt idx="7">
                  <c:v>186</c:v>
                </c:pt>
                <c:pt idx="8">
                  <c:v>213</c:v>
                </c:pt>
                <c:pt idx="9">
                  <c:v>201</c:v>
                </c:pt>
                <c:pt idx="10">
                  <c:v>213</c:v>
                </c:pt>
                <c:pt idx="11">
                  <c:v>331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BF8-4696-BE98-E2B56FE4BC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136263464"/>
        <c:axId val="1136257704"/>
      </c:lineChart>
      <c:catAx>
        <c:axId val="1136263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36257704"/>
        <c:crosses val="autoZero"/>
        <c:auto val="1"/>
        <c:lblAlgn val="ctr"/>
        <c:lblOffset val="100"/>
        <c:noMultiLvlLbl val="0"/>
      </c:catAx>
      <c:valAx>
        <c:axId val="1136257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136263464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'[FY24 Yearly - ADC Report_V1.13_12.07.2024.xlsx]PERSON Status - Must QA First'!$C$59</c:f>
              <c:strCache>
                <c:ptCount val="1"/>
                <c:pt idx="0">
                  <c:v>Apr-Jun 2024</c:v>
                </c:pt>
              </c:strCache>
            </c:strRef>
          </c:tx>
          <c:spPr>
            <a:solidFill>
              <a:srgbClr val="3787A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'[FY24 Yearly - ADC Report_V1.13_12.07.2024.xlsx]PERSON Status - Must QA First'!$B$60:$B$62</c:f>
              <c:strCache>
                <c:ptCount val="3"/>
                <c:pt idx="0">
                  <c:v>Older People</c:v>
                </c:pt>
                <c:pt idx="1">
                  <c:v>Adults with Disability</c:v>
                </c:pt>
                <c:pt idx="2">
                  <c:v>Total</c:v>
                </c:pt>
              </c:strCache>
            </c:strRef>
          </c:cat>
          <c:val>
            <c:numRef>
              <c:f>'[FY24 Yearly - ADC Report_V1.13_12.07.2024.xlsx]PERSON Status - Must QA First'!$C$60:$C$62</c:f>
              <c:numCache>
                <c:formatCode>_-* #,##0_-;\-* #,##0_-;_-* "-"??_-;_-@_-</c:formatCode>
                <c:ptCount val="3"/>
                <c:pt idx="0">
                  <c:v>3704</c:v>
                </c:pt>
                <c:pt idx="1">
                  <c:v>1102</c:v>
                </c:pt>
                <c:pt idx="2">
                  <c:v>4806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5B-4E63-A48C-DB19AECAF5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17792560"/>
        <c:axId val="917794360"/>
      </c:barChart>
      <c:catAx>
        <c:axId val="91779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7794360"/>
        <c:crosses val="autoZero"/>
        <c:auto val="1"/>
        <c:lblAlgn val="ctr"/>
        <c:lblOffset val="100"/>
        <c:noMultiLvlLbl val="0"/>
      </c:catAx>
      <c:valAx>
        <c:axId val="917794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7792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'[FY24 Yearly - ADC Report_V1.14_12.07.2024.xlsx]Gender'!$C$61</c:f>
              <c:strCache>
                <c:ptCount val="1"/>
                <c:pt idx="0">
                  <c:v>Adults with disability</c:v>
                </c:pt>
              </c:strCache>
            </c:strRef>
          </c:tx>
          <c:spPr>
            <a:solidFill>
              <a:srgbClr val="316B8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'[FY24 Yearly - ADC Report_V1.14_12.07.2024.xlsx]Gender'!$B$62:$B$64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Unknown</c:v>
                </c:pt>
              </c:strCache>
            </c:strRef>
          </c:cat>
          <c:val>
            <c:numRef>
              <c:f>'[FY24 Yearly - ADC Report_V1.14_12.07.2024.xlsx]Gender'!$C$62:$C$64</c:f>
              <c:numCache>
                <c:formatCode>_-* #,##0_-;\-* #,##0_-;_-* "-"??_-;_-@_-</c:formatCode>
                <c:ptCount val="3"/>
                <c:pt idx="0">
                  <c:v>584</c:v>
                </c:pt>
                <c:pt idx="1">
                  <c:v>515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FE-4FF0-A00E-501684F34BF4}"/>
            </c:ext>
          </c:extLst>
        </c:ser>
        <c:ser>
          <c:idx val="1"/>
          <c:order val="1"/>
          <c:tx>
            <c:strRef>
              <c:f>'[FY24 Yearly - ADC Report_V1.14_12.07.2024.xlsx]Gender'!$D$61</c:f>
              <c:strCache>
                <c:ptCount val="1"/>
                <c:pt idx="0">
                  <c:v>Older people</c:v>
                </c:pt>
              </c:strCache>
            </c:strRef>
          </c:tx>
          <c:spPr>
            <a:solidFill>
              <a:srgbClr val="5CA7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'[FY24 Yearly - ADC Report_V1.14_12.07.2024.xlsx]Gender'!$B$62:$B$64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Unknown</c:v>
                </c:pt>
              </c:strCache>
            </c:strRef>
          </c:cat>
          <c:val>
            <c:numRef>
              <c:f>'[FY24 Yearly - ADC Report_V1.14_12.07.2024.xlsx]Gender'!$D$62:$D$64</c:f>
              <c:numCache>
                <c:formatCode>_-* #,##0_-;\-* #,##0_-;_-* "-"??_-;_-@_-</c:formatCode>
                <c:ptCount val="3"/>
                <c:pt idx="0">
                  <c:v>2423</c:v>
                </c:pt>
                <c:pt idx="1">
                  <c:v>1277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FE-4FF0-A00E-501684F34B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02562080"/>
        <c:axId val="802565680"/>
      </c:barChart>
      <c:catAx>
        <c:axId val="802562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02565680"/>
        <c:crosses val="autoZero"/>
        <c:auto val="1"/>
        <c:lblAlgn val="ctr"/>
        <c:lblOffset val="100"/>
        <c:noMultiLvlLbl val="0"/>
      </c:catAx>
      <c:valAx>
        <c:axId val="802565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0256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'[FY24 Yearly - ADC Report_V1.15_12.07.2024.xlsx]Age'!$J$2355</c:f>
              <c:strCache>
                <c:ptCount val="1"/>
                <c:pt idx="0">
                  <c:v>Number</c:v>
                </c:pt>
              </c:strCache>
            </c:strRef>
          </c:tx>
          <c:spPr>
            <a:solidFill>
              <a:srgbClr val="3787A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'[FY24 Yearly - ADC Report_V1.15_12.07.2024.xlsx]Age'!$I$2356:$I$2367</c:f>
              <c:strCache>
                <c:ptCount val="12"/>
                <c:pt idx="0">
                  <c:v>50-54</c:v>
                </c:pt>
                <c:pt idx="1">
                  <c:v>55-59</c:v>
                </c:pt>
                <c:pt idx="2">
                  <c:v>60-64</c:v>
                </c:pt>
                <c:pt idx="3">
                  <c:v>65-69</c:v>
                </c:pt>
                <c:pt idx="4">
                  <c:v>70-74</c:v>
                </c:pt>
                <c:pt idx="5">
                  <c:v>75-79</c:v>
                </c:pt>
                <c:pt idx="6">
                  <c:v>80-84</c:v>
                </c:pt>
                <c:pt idx="7">
                  <c:v>85-89</c:v>
                </c:pt>
                <c:pt idx="8">
                  <c:v>90-94</c:v>
                </c:pt>
                <c:pt idx="9">
                  <c:v>95-99</c:v>
                </c:pt>
                <c:pt idx="10">
                  <c:v>100+</c:v>
                </c:pt>
                <c:pt idx="11">
                  <c:v>Unknown</c:v>
                </c:pt>
              </c:strCache>
            </c:strRef>
          </c:cat>
          <c:val>
            <c:numRef>
              <c:f>'[FY24 Yearly - ADC Report_V1.15_12.07.2024.xlsx]Age'!$J$2356:$J$2367</c:f>
              <c:numCache>
                <c:formatCode>General</c:formatCode>
                <c:ptCount val="12"/>
                <c:pt idx="0">
                  <c:v>12</c:v>
                </c:pt>
                <c:pt idx="1">
                  <c:v>11</c:v>
                </c:pt>
                <c:pt idx="2">
                  <c:v>20</c:v>
                </c:pt>
                <c:pt idx="3">
                  <c:v>276</c:v>
                </c:pt>
                <c:pt idx="4">
                  <c:v>435</c:v>
                </c:pt>
                <c:pt idx="5">
                  <c:v>588</c:v>
                </c:pt>
                <c:pt idx="6">
                  <c:v>711</c:v>
                </c:pt>
                <c:pt idx="7">
                  <c:v>571</c:v>
                </c:pt>
                <c:pt idx="8">
                  <c:v>377</c:v>
                </c:pt>
                <c:pt idx="9">
                  <c:v>131</c:v>
                </c:pt>
                <c:pt idx="10">
                  <c:v>32</c:v>
                </c:pt>
                <c:pt idx="11">
                  <c:v>540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91-40F2-9C6A-FF40852121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29741568"/>
        <c:axId val="729732568"/>
      </c:barChart>
      <c:catAx>
        <c:axId val="72974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29732568"/>
        <c:crosses val="autoZero"/>
        <c:auto val="1"/>
        <c:lblAlgn val="ctr"/>
        <c:lblOffset val="100"/>
        <c:noMultiLvlLbl val="0"/>
      </c:catAx>
      <c:valAx>
        <c:axId val="729732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29741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'[FY24 Yearly - ADC Report_V1.15_12.07.2024.xlsx]Age'!$C$2355</c:f>
              <c:strCache>
                <c:ptCount val="1"/>
                <c:pt idx="0">
                  <c:v>Number</c:v>
                </c:pt>
              </c:strCache>
            </c:strRef>
          </c:tx>
          <c:spPr>
            <a:solidFill>
              <a:srgbClr val="3787A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'[FY24 Yearly - ADC Report_V1.15_12.07.2024.xlsx]Age'!$B$2356:$B$2365</c:f>
              <c:strCache>
                <c:ptCount val="10"/>
                <c:pt idx="0">
                  <c:v>18-24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Unknown</c:v>
                </c:pt>
              </c:strCache>
            </c:strRef>
          </c:cat>
          <c:val>
            <c:numRef>
              <c:f>'[FY24 Yearly - ADC Report_V1.15_12.07.2024.xlsx]Age'!$C$2356:$C$2365</c:f>
              <c:numCache>
                <c:formatCode>General</c:formatCode>
                <c:ptCount val="10"/>
                <c:pt idx="0">
                  <c:v>219</c:v>
                </c:pt>
                <c:pt idx="1">
                  <c:v>94</c:v>
                </c:pt>
                <c:pt idx="2">
                  <c:v>66</c:v>
                </c:pt>
                <c:pt idx="3">
                  <c:v>56</c:v>
                </c:pt>
                <c:pt idx="4">
                  <c:v>71</c:v>
                </c:pt>
                <c:pt idx="5">
                  <c:v>77</c:v>
                </c:pt>
                <c:pt idx="6">
                  <c:v>94</c:v>
                </c:pt>
                <c:pt idx="7">
                  <c:v>93</c:v>
                </c:pt>
                <c:pt idx="8">
                  <c:v>151</c:v>
                </c:pt>
                <c:pt idx="9">
                  <c:v>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06-4800-9B20-B7EEFC50D7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17810560"/>
        <c:axId val="917806240"/>
      </c:barChart>
      <c:catAx>
        <c:axId val="91781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7806240"/>
        <c:crosses val="autoZero"/>
        <c:auto val="1"/>
        <c:lblAlgn val="ctr"/>
        <c:lblOffset val="100"/>
        <c:noMultiLvlLbl val="0"/>
      </c:catAx>
      <c:valAx>
        <c:axId val="917806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781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'[FY24 Yearly - ADC Report_17.07.2024_Final.xlsx]Location of PERSON-1'!$Y$78</c:f>
              <c:strCache>
                <c:ptCount val="1"/>
                <c:pt idx="0">
                  <c:v>Count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'[FY24 Yearly - ADC Report_17.07.2024_Final.xlsx]Location of PERSON-1'!$X$79:$X$94</c:f>
              <c:strCache>
                <c:ptCount val="16"/>
                <c:pt idx="0">
                  <c:v>Hunter</c:v>
                </c:pt>
                <c:pt idx="1">
                  <c:v>SW Sydney</c:v>
                </c:pt>
                <c:pt idx="2">
                  <c:v>Illawarra-Shoalhaven</c:v>
                </c:pt>
                <c:pt idx="3">
                  <c:v>Central Coast</c:v>
                </c:pt>
                <c:pt idx="4">
                  <c:v>SE Sydney</c:v>
                </c:pt>
                <c:pt idx="5">
                  <c:v>Northern Sydney</c:v>
                </c:pt>
                <c:pt idx="6">
                  <c:v>Nepean Blue Mtns</c:v>
                </c:pt>
                <c:pt idx="7">
                  <c:v>Western Sydney</c:v>
                </c:pt>
                <c:pt idx="8">
                  <c:v>Western NSW</c:v>
                </c:pt>
                <c:pt idx="9">
                  <c:v>Northern NSW</c:v>
                </c:pt>
                <c:pt idx="10">
                  <c:v>Mid North Coast</c:v>
                </c:pt>
                <c:pt idx="11">
                  <c:v>Sydney</c:v>
                </c:pt>
                <c:pt idx="12">
                  <c:v>Murrumbidgee</c:v>
                </c:pt>
                <c:pt idx="13">
                  <c:v>New England</c:v>
                </c:pt>
                <c:pt idx="14">
                  <c:v>Southern NSW</c:v>
                </c:pt>
                <c:pt idx="15">
                  <c:v>Far West</c:v>
                </c:pt>
              </c:strCache>
            </c:strRef>
          </c:cat>
          <c:val>
            <c:numRef>
              <c:f>'[FY24 Yearly - ADC Report_17.07.2024_Final.xlsx]Location of PERSON-1'!$Y$79:$Y$94</c:f>
              <c:numCache>
                <c:formatCode>_-* #,##0_-;\-* #,##0_-;_-* "-"??_-;_-@_-</c:formatCode>
                <c:ptCount val="16"/>
                <c:pt idx="0">
                  <c:v>458</c:v>
                </c:pt>
                <c:pt idx="1">
                  <c:v>392</c:v>
                </c:pt>
                <c:pt idx="2">
                  <c:v>348</c:v>
                </c:pt>
                <c:pt idx="3">
                  <c:v>332</c:v>
                </c:pt>
                <c:pt idx="4">
                  <c:v>331</c:v>
                </c:pt>
                <c:pt idx="5">
                  <c:v>307</c:v>
                </c:pt>
                <c:pt idx="6">
                  <c:v>287</c:v>
                </c:pt>
                <c:pt idx="7">
                  <c:v>277</c:v>
                </c:pt>
                <c:pt idx="8">
                  <c:v>266</c:v>
                </c:pt>
                <c:pt idx="9">
                  <c:v>199</c:v>
                </c:pt>
                <c:pt idx="10">
                  <c:v>188</c:v>
                </c:pt>
                <c:pt idx="11">
                  <c:v>183</c:v>
                </c:pt>
                <c:pt idx="12">
                  <c:v>169</c:v>
                </c:pt>
                <c:pt idx="13">
                  <c:v>138</c:v>
                </c:pt>
                <c:pt idx="14">
                  <c:v>52</c:v>
                </c:pt>
                <c:pt idx="1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DE-4958-9EE3-05F2AE8CBB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0432824"/>
        <c:axId val="440431384"/>
      </c:barChart>
      <c:catAx>
        <c:axId val="440432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40431384"/>
        <c:crosses val="autoZero"/>
        <c:auto val="1"/>
        <c:lblAlgn val="ctr"/>
        <c:lblOffset val="100"/>
        <c:noMultiLvlLbl val="0"/>
      </c:catAx>
      <c:valAx>
        <c:axId val="440431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40432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'[FY24 Yearly - ADC Report_V1.23_12.07.2024.xlsx]RPTER Relationship to PERSON'!$I$1151</c:f>
              <c:strCache>
                <c:ptCount val="1"/>
                <c:pt idx="0">
                  <c:v>Number</c:v>
                </c:pt>
              </c:strCache>
            </c:strRef>
          </c:tx>
          <c:spPr>
            <a:solidFill>
              <a:srgbClr val="316B8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'[FY24 Yearly - ADC Report_V1.23_12.07.2024.xlsx]RPTER Relationship to PERSON'!$H$1152:$H$1165</c:f>
              <c:strCache>
                <c:ptCount val="14"/>
                <c:pt idx="0">
                  <c:v>Primary Carer</c:v>
                </c:pt>
                <c:pt idx="1">
                  <c:v>Parent</c:v>
                </c:pt>
                <c:pt idx="2">
                  <c:v>Spouse or Partner</c:v>
                </c:pt>
                <c:pt idx="3">
                  <c:v>Advocate</c:v>
                </c:pt>
                <c:pt idx="4">
                  <c:v>Unknown or Not Disclosed</c:v>
                </c:pt>
                <c:pt idx="5">
                  <c:v>Sibling</c:v>
                </c:pt>
                <c:pt idx="6">
                  <c:v>Grandchild</c:v>
                </c:pt>
                <c:pt idx="7">
                  <c:v>Neighbour</c:v>
                </c:pt>
                <c:pt idx="8">
                  <c:v>Other</c:v>
                </c:pt>
                <c:pt idx="9">
                  <c:v>Friend</c:v>
                </c:pt>
                <c:pt idx="10">
                  <c:v>Other Relative</c:v>
                </c:pt>
                <c:pt idx="11">
                  <c:v>Person Experiencing Abuse</c:v>
                </c:pt>
                <c:pt idx="12">
                  <c:v>Child</c:v>
                </c:pt>
                <c:pt idx="13">
                  <c:v>Paid Worker</c:v>
                </c:pt>
              </c:strCache>
            </c:strRef>
          </c:cat>
          <c:val>
            <c:numRef>
              <c:f>'[FY24 Yearly - ADC Report_V1.23_12.07.2024.xlsx]RPTER Relationship to PERSON'!$I$1152:$I$1165</c:f>
              <c:numCache>
                <c:formatCode>[$-1010409]General</c:formatCode>
                <c:ptCount val="14"/>
                <c:pt idx="0">
                  <c:v>7</c:v>
                </c:pt>
                <c:pt idx="1">
                  <c:v>24</c:v>
                </c:pt>
                <c:pt idx="2">
                  <c:v>44</c:v>
                </c:pt>
                <c:pt idx="3">
                  <c:v>44</c:v>
                </c:pt>
                <c:pt idx="4">
                  <c:v>53</c:v>
                </c:pt>
                <c:pt idx="5">
                  <c:v>74</c:v>
                </c:pt>
                <c:pt idx="6">
                  <c:v>134</c:v>
                </c:pt>
                <c:pt idx="7">
                  <c:v>150</c:v>
                </c:pt>
                <c:pt idx="8">
                  <c:v>186</c:v>
                </c:pt>
                <c:pt idx="9">
                  <c:v>213</c:v>
                </c:pt>
                <c:pt idx="10">
                  <c:v>279</c:v>
                </c:pt>
                <c:pt idx="11">
                  <c:v>451</c:v>
                </c:pt>
                <c:pt idx="12">
                  <c:v>896</c:v>
                </c:pt>
                <c:pt idx="13">
                  <c:v>1149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30-4601-B097-0B89299EDE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09640880"/>
        <c:axId val="909639080"/>
      </c:barChart>
      <c:catAx>
        <c:axId val="909640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09639080"/>
        <c:crosses val="autoZero"/>
        <c:auto val="1"/>
        <c:lblAlgn val="ctr"/>
        <c:lblOffset val="100"/>
        <c:noMultiLvlLbl val="0"/>
      </c:catAx>
      <c:valAx>
        <c:axId val="909639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10409]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09640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Slice">
  <a:themeElements>
    <a:clrScheme name="Custom 1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0D88A7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5E27-4975-4E8E-B2D0-B7572EE9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2338</Words>
  <Characters>13330</Characters>
  <Application>Microsoft Office Word</Application>
  <DocSecurity>4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Family &amp; Community Services</Company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McKenzie</dc:creator>
  <cp:keywords/>
  <dc:description/>
  <cp:lastModifiedBy>Anna Gauci</cp:lastModifiedBy>
  <cp:revision>2</cp:revision>
  <cp:lastPrinted>2024-07-15T08:54:00Z</cp:lastPrinted>
  <dcterms:created xsi:type="dcterms:W3CDTF">2024-08-28T04:50:00Z</dcterms:created>
  <dcterms:modified xsi:type="dcterms:W3CDTF">2024-08-28T04:50:00Z</dcterms:modified>
</cp:coreProperties>
</file>