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9DE40" w14:textId="1F6B5197" w:rsidR="00075101" w:rsidRPr="00B74CCF" w:rsidRDefault="006B5165" w:rsidP="007A4BC6">
      <w:pPr>
        <w:pStyle w:val="Heading1"/>
        <w:spacing w:before="0" w:after="0"/>
        <w:jc w:val="center"/>
        <w:rPr>
          <w:rFonts w:ascii="Public Sans" w:hAnsi="Public Sans"/>
          <w:b/>
          <w:color w:val="auto"/>
        </w:rPr>
      </w:pPr>
      <w:r w:rsidRPr="00B74CCF">
        <w:rPr>
          <w:rFonts w:ascii="Public Sans" w:hAnsi="Public Sans"/>
          <w:b/>
          <w:color w:val="auto"/>
        </w:rPr>
        <w:t>Ageing and Disability Commission d</w:t>
      </w:r>
      <w:r w:rsidR="00075101" w:rsidRPr="00B74CCF">
        <w:rPr>
          <w:rFonts w:ascii="Public Sans" w:hAnsi="Public Sans"/>
          <w:b/>
          <w:color w:val="auto"/>
        </w:rPr>
        <w:t>ata</w:t>
      </w:r>
    </w:p>
    <w:p w14:paraId="7730094D" w14:textId="3FB33D30" w:rsidR="006B5165" w:rsidRPr="00B74CCF" w:rsidRDefault="007E3129" w:rsidP="00014357">
      <w:pPr>
        <w:pStyle w:val="Heading1"/>
        <w:spacing w:before="120" w:after="0"/>
        <w:jc w:val="center"/>
        <w:rPr>
          <w:rFonts w:ascii="Public Sans" w:hAnsi="Public Sans"/>
          <w:b/>
          <w:color w:val="auto"/>
          <w:sz w:val="28"/>
        </w:rPr>
      </w:pPr>
      <w:r>
        <w:rPr>
          <w:rFonts w:ascii="Public Sans" w:hAnsi="Public Sans"/>
          <w:b/>
          <w:color w:val="auto"/>
          <w:sz w:val="28"/>
        </w:rPr>
        <w:t>July</w:t>
      </w:r>
      <w:r w:rsidR="006B5165" w:rsidRPr="00B74CCF">
        <w:rPr>
          <w:rFonts w:ascii="Public Sans" w:hAnsi="Public Sans"/>
          <w:b/>
          <w:color w:val="auto"/>
          <w:sz w:val="28"/>
        </w:rPr>
        <w:t xml:space="preserve"> </w:t>
      </w:r>
      <w:r w:rsidR="00573A7C" w:rsidRPr="00B74CCF">
        <w:rPr>
          <w:rFonts w:ascii="Public Sans" w:hAnsi="Public Sans"/>
          <w:b/>
          <w:color w:val="auto"/>
          <w:sz w:val="28"/>
        </w:rPr>
        <w:t xml:space="preserve">– </w:t>
      </w:r>
      <w:r>
        <w:rPr>
          <w:rFonts w:ascii="Public Sans" w:hAnsi="Public Sans"/>
          <w:b/>
          <w:color w:val="auto"/>
          <w:sz w:val="28"/>
        </w:rPr>
        <w:t>September</w:t>
      </w:r>
      <w:r w:rsidR="00573A7C" w:rsidRPr="00B74CCF">
        <w:rPr>
          <w:rFonts w:ascii="Public Sans" w:hAnsi="Public Sans"/>
          <w:b/>
          <w:color w:val="auto"/>
          <w:sz w:val="28"/>
        </w:rPr>
        <w:t xml:space="preserve"> </w:t>
      </w:r>
      <w:r w:rsidR="006B5165" w:rsidRPr="00B74CCF">
        <w:rPr>
          <w:rFonts w:ascii="Public Sans" w:hAnsi="Public Sans"/>
          <w:b/>
          <w:color w:val="auto"/>
          <w:sz w:val="28"/>
        </w:rPr>
        <w:t>202</w:t>
      </w:r>
      <w:r w:rsidR="00E15A16">
        <w:rPr>
          <w:rFonts w:ascii="Public Sans" w:hAnsi="Public Sans"/>
          <w:b/>
          <w:color w:val="auto"/>
          <w:sz w:val="28"/>
        </w:rPr>
        <w:t>3</w:t>
      </w:r>
    </w:p>
    <w:p w14:paraId="08E1B6D4" w14:textId="49C2F408" w:rsidR="00014357" w:rsidRDefault="00014357" w:rsidP="007A4BC6">
      <w:pPr>
        <w:pStyle w:val="NoSpacing"/>
        <w:rPr>
          <w:rFonts w:ascii="Public Sans" w:hAnsi="Public Sans" w:cs="Segoe UI"/>
          <w:sz w:val="18"/>
        </w:rPr>
      </w:pPr>
    </w:p>
    <w:p w14:paraId="562F8D33" w14:textId="77777777" w:rsidR="006B5165" w:rsidRPr="00B74CCF" w:rsidRDefault="00E134D4" w:rsidP="00E134D4">
      <w:pPr>
        <w:pStyle w:val="Heading2"/>
        <w:numPr>
          <w:ilvl w:val="0"/>
          <w:numId w:val="10"/>
        </w:numPr>
        <w:spacing w:before="0"/>
        <w:ind w:left="426" w:hanging="426"/>
        <w:rPr>
          <w:rFonts w:ascii="Public Sans" w:hAnsi="Public Sans"/>
          <w:b/>
          <w:color w:val="auto"/>
        </w:rPr>
      </w:pPr>
      <w:r w:rsidRPr="00B74CCF">
        <w:rPr>
          <w:rFonts w:ascii="Public Sans" w:hAnsi="Public Sans"/>
          <w:b/>
          <w:color w:val="auto"/>
        </w:rPr>
        <w:t>Number of</w:t>
      </w:r>
      <w:r w:rsidR="006B5165" w:rsidRPr="00B74CCF">
        <w:rPr>
          <w:rFonts w:ascii="Public Sans" w:hAnsi="Public Sans"/>
          <w:b/>
          <w:color w:val="auto"/>
        </w:rPr>
        <w:t xml:space="preserve"> </w:t>
      </w:r>
      <w:r w:rsidRPr="00B74CCF">
        <w:rPr>
          <w:rFonts w:ascii="Public Sans" w:hAnsi="Public Sans"/>
          <w:b/>
          <w:color w:val="auto"/>
        </w:rPr>
        <w:t xml:space="preserve">calls, </w:t>
      </w:r>
      <w:r w:rsidR="006B5165" w:rsidRPr="00B74CCF">
        <w:rPr>
          <w:rFonts w:ascii="Public Sans" w:hAnsi="Public Sans"/>
          <w:b/>
          <w:color w:val="auto"/>
        </w:rPr>
        <w:t xml:space="preserve">enquiries and reports </w:t>
      </w:r>
    </w:p>
    <w:p w14:paraId="7948C17A" w14:textId="77777777" w:rsidR="006B5165" w:rsidRPr="00613AF2" w:rsidRDefault="006B5165" w:rsidP="007A4BC6">
      <w:pPr>
        <w:spacing w:after="0" w:line="240" w:lineRule="auto"/>
        <w:rPr>
          <w:rFonts w:ascii="Public Sans" w:hAnsi="Public Sans" w:cs="Segoe UI"/>
          <w:sz w:val="18"/>
        </w:rPr>
      </w:pPr>
    </w:p>
    <w:p w14:paraId="7733715C" w14:textId="77777777" w:rsidR="00E024F6" w:rsidRPr="00B74CCF" w:rsidRDefault="00E024F6" w:rsidP="00E024F6">
      <w:pPr>
        <w:pStyle w:val="Heading3"/>
        <w:rPr>
          <w:rFonts w:ascii="Public Sans" w:hAnsi="Public Sans"/>
          <w:b/>
          <w:color w:val="auto"/>
        </w:rPr>
      </w:pPr>
      <w:r w:rsidRPr="00B74CCF">
        <w:rPr>
          <w:rFonts w:ascii="Public Sans" w:hAnsi="Public Sans"/>
          <w:b/>
          <w:color w:val="auto"/>
        </w:rPr>
        <w:t>1.1</w:t>
      </w:r>
      <w:r w:rsidRPr="00B74CCF">
        <w:rPr>
          <w:rFonts w:ascii="Public Sans" w:hAnsi="Public Sans"/>
          <w:b/>
          <w:color w:val="auto"/>
        </w:rPr>
        <w:tab/>
        <w:t>Number of calls to the Ageing and Disability Abuse Helpline</w:t>
      </w:r>
    </w:p>
    <w:p w14:paraId="0B90C2FF" w14:textId="77777777" w:rsidR="00D57958" w:rsidRDefault="00D57958" w:rsidP="00D57958">
      <w:pPr>
        <w:pStyle w:val="Body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rPr>
          <w:rFonts w:ascii="Public Sans" w:hAnsi="Public Sans" w:cs="Segoe UI"/>
        </w:rPr>
      </w:pPr>
    </w:p>
    <w:p w14:paraId="52F9BBAA" w14:textId="5AF30E8D" w:rsidR="006813C5" w:rsidRDefault="00D57958" w:rsidP="00D57958">
      <w:pPr>
        <w:pStyle w:val="Body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rPr>
          <w:rFonts w:ascii="Public Sans" w:eastAsia="Helvetica" w:hAnsi="Public Sans" w:cs="Segoe UI"/>
        </w:rPr>
      </w:pPr>
      <w:r>
        <w:rPr>
          <w:rFonts w:ascii="Public Sans" w:hAnsi="Public Sans" w:cs="Segoe UI"/>
        </w:rPr>
        <w:t xml:space="preserve">Between 1 </w:t>
      </w:r>
      <w:r w:rsidR="00E15A16">
        <w:rPr>
          <w:rFonts w:ascii="Public Sans" w:hAnsi="Public Sans" w:cs="Segoe UI"/>
        </w:rPr>
        <w:t>J</w:t>
      </w:r>
      <w:r w:rsidR="0056075F">
        <w:rPr>
          <w:rFonts w:ascii="Public Sans" w:hAnsi="Public Sans" w:cs="Segoe UI"/>
        </w:rPr>
        <w:t>uly</w:t>
      </w:r>
      <w:r>
        <w:rPr>
          <w:rFonts w:ascii="Public Sans" w:hAnsi="Public Sans" w:cs="Segoe UI"/>
        </w:rPr>
        <w:t xml:space="preserve"> and 3</w:t>
      </w:r>
      <w:r w:rsidR="0056075F">
        <w:rPr>
          <w:rFonts w:ascii="Public Sans" w:hAnsi="Public Sans" w:cs="Segoe UI"/>
        </w:rPr>
        <w:t>0</w:t>
      </w:r>
      <w:r>
        <w:rPr>
          <w:rFonts w:ascii="Public Sans" w:hAnsi="Public Sans" w:cs="Segoe UI"/>
        </w:rPr>
        <w:t xml:space="preserve"> </w:t>
      </w:r>
      <w:r w:rsidR="0056075F">
        <w:rPr>
          <w:rFonts w:ascii="Public Sans" w:hAnsi="Public Sans" w:cs="Segoe UI"/>
        </w:rPr>
        <w:t>September</w:t>
      </w:r>
      <w:r>
        <w:rPr>
          <w:rFonts w:ascii="Public Sans" w:hAnsi="Public Sans" w:cs="Segoe UI"/>
        </w:rPr>
        <w:t xml:space="preserve"> 20</w:t>
      </w:r>
      <w:r w:rsidRPr="00965C05">
        <w:rPr>
          <w:rFonts w:ascii="Public Sans" w:hAnsi="Public Sans" w:cs="Segoe UI"/>
        </w:rPr>
        <w:t>2</w:t>
      </w:r>
      <w:r w:rsidR="00E15A16">
        <w:rPr>
          <w:rFonts w:ascii="Public Sans" w:hAnsi="Public Sans" w:cs="Segoe UI"/>
        </w:rPr>
        <w:t>3</w:t>
      </w:r>
      <w:r w:rsidRPr="00965C05">
        <w:rPr>
          <w:rFonts w:ascii="Public Sans" w:hAnsi="Public Sans" w:cs="Segoe UI"/>
        </w:rPr>
        <w:t xml:space="preserve">, the Ageing and Disability Abuse Helpline received </w:t>
      </w:r>
      <w:r w:rsidR="0056075F" w:rsidRPr="0056075F">
        <w:rPr>
          <w:rFonts w:ascii="Public Sans" w:hAnsi="Public Sans" w:cs="Segoe UI"/>
          <w:b/>
          <w:bCs/>
        </w:rPr>
        <w:t>4,</w:t>
      </w:r>
      <w:r w:rsidR="00C17224">
        <w:rPr>
          <w:rFonts w:ascii="Public Sans" w:hAnsi="Public Sans" w:cs="Segoe UI"/>
          <w:b/>
          <w:bCs/>
        </w:rPr>
        <w:t>553</w:t>
      </w:r>
      <w:r w:rsidRPr="00965C05">
        <w:rPr>
          <w:rFonts w:ascii="Public Sans" w:hAnsi="Public Sans" w:cs="Segoe UI"/>
          <w:b/>
        </w:rPr>
        <w:t xml:space="preserve"> calls</w:t>
      </w:r>
      <w:r w:rsidRPr="00965C05">
        <w:rPr>
          <w:rFonts w:ascii="Public Sans" w:hAnsi="Public Sans" w:cs="Segoe UI"/>
        </w:rPr>
        <w:t>.</w:t>
      </w:r>
      <w:r w:rsidRPr="00965C05">
        <w:rPr>
          <w:rFonts w:ascii="Public Sans" w:eastAsia="Helvetica" w:hAnsi="Public Sans" w:cs="Segoe UI"/>
        </w:rPr>
        <w:t xml:space="preserve">  </w:t>
      </w:r>
      <w:r w:rsidR="00035721">
        <w:rPr>
          <w:rFonts w:ascii="Public Sans" w:eastAsia="Helvetica" w:hAnsi="Public Sans" w:cs="Segoe UI"/>
        </w:rPr>
        <w:t xml:space="preserve">This was </w:t>
      </w:r>
      <w:r w:rsidR="00F83E86">
        <w:rPr>
          <w:rFonts w:ascii="Public Sans" w:eastAsia="Helvetica" w:hAnsi="Public Sans" w:cs="Segoe UI"/>
        </w:rPr>
        <w:t xml:space="preserve">the highest number of calls to the Helpline in any quarter since the ADC’s commencement, and </w:t>
      </w:r>
      <w:r w:rsidR="00035721">
        <w:rPr>
          <w:rFonts w:ascii="Public Sans" w:eastAsia="Helvetica" w:hAnsi="Public Sans" w:cs="Segoe UI"/>
        </w:rPr>
        <w:t xml:space="preserve">a </w:t>
      </w:r>
      <w:r w:rsidR="006C7668">
        <w:rPr>
          <w:rFonts w:ascii="Public Sans" w:eastAsia="Helvetica" w:hAnsi="Public Sans" w:cs="Segoe UI"/>
        </w:rPr>
        <w:t>25</w:t>
      </w:r>
      <w:r w:rsidR="00035721">
        <w:rPr>
          <w:rFonts w:ascii="Public Sans" w:eastAsia="Helvetica" w:hAnsi="Public Sans" w:cs="Segoe UI"/>
        </w:rPr>
        <w:t xml:space="preserve">% </w:t>
      </w:r>
      <w:r w:rsidR="00FD3495">
        <w:rPr>
          <w:rFonts w:ascii="Public Sans" w:eastAsia="Helvetica" w:hAnsi="Public Sans" w:cs="Segoe UI"/>
        </w:rPr>
        <w:t>inc</w:t>
      </w:r>
      <w:r w:rsidR="007A0F04">
        <w:rPr>
          <w:rFonts w:ascii="Public Sans" w:eastAsia="Helvetica" w:hAnsi="Public Sans" w:cs="Segoe UI"/>
        </w:rPr>
        <w:t>rease</w:t>
      </w:r>
      <w:r w:rsidR="00035721">
        <w:rPr>
          <w:rFonts w:ascii="Public Sans" w:eastAsia="Helvetica" w:hAnsi="Public Sans" w:cs="Segoe UI"/>
        </w:rPr>
        <w:t xml:space="preserve"> on calls in the previous </w:t>
      </w:r>
      <w:r w:rsidR="006813C5">
        <w:rPr>
          <w:rFonts w:ascii="Public Sans" w:eastAsia="Helvetica" w:hAnsi="Public Sans" w:cs="Segoe UI"/>
        </w:rPr>
        <w:t>quarter</w:t>
      </w:r>
      <w:r w:rsidR="00035721">
        <w:rPr>
          <w:rFonts w:ascii="Public Sans" w:eastAsia="Helvetica" w:hAnsi="Public Sans" w:cs="Segoe UI"/>
        </w:rPr>
        <w:t xml:space="preserve">. </w:t>
      </w:r>
    </w:p>
    <w:p w14:paraId="330BD32D" w14:textId="77777777" w:rsidR="006813C5" w:rsidRDefault="006813C5" w:rsidP="00D57958">
      <w:pPr>
        <w:pStyle w:val="Body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rPr>
          <w:rFonts w:ascii="Public Sans" w:eastAsia="Helvetica" w:hAnsi="Public Sans" w:cs="Segoe UI"/>
        </w:rPr>
      </w:pPr>
    </w:p>
    <w:p w14:paraId="4B956BC1" w14:textId="6B415A53" w:rsidR="00D57958" w:rsidRPr="00965C05" w:rsidRDefault="008D1B90" w:rsidP="00D57958">
      <w:pPr>
        <w:pStyle w:val="Body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rPr>
          <w:rFonts w:ascii="Public Sans" w:eastAsia="Helvetica" w:hAnsi="Public Sans" w:cs="Segoe UI"/>
        </w:rPr>
      </w:pPr>
      <w:r>
        <w:rPr>
          <w:rFonts w:ascii="Public Sans" w:eastAsia="Helvetica" w:hAnsi="Public Sans" w:cs="Segoe UI"/>
        </w:rPr>
        <w:t>The number of c</w:t>
      </w:r>
      <w:r w:rsidR="007851A8">
        <w:rPr>
          <w:rFonts w:ascii="Public Sans" w:eastAsia="Helvetica" w:hAnsi="Public Sans" w:cs="Segoe UI"/>
        </w:rPr>
        <w:t xml:space="preserve">alls to the Helpline in </w:t>
      </w:r>
      <w:r w:rsidR="00FD3495">
        <w:rPr>
          <w:rFonts w:ascii="Public Sans" w:eastAsia="Helvetica" w:hAnsi="Public Sans" w:cs="Segoe UI"/>
        </w:rPr>
        <w:t xml:space="preserve">the 12 months to </w:t>
      </w:r>
      <w:r w:rsidR="006813C5">
        <w:rPr>
          <w:rFonts w:ascii="Public Sans" w:eastAsia="Helvetica" w:hAnsi="Public Sans" w:cs="Segoe UI"/>
        </w:rPr>
        <w:t>September</w:t>
      </w:r>
      <w:r w:rsidR="00FD3495">
        <w:rPr>
          <w:rFonts w:ascii="Public Sans" w:eastAsia="Helvetica" w:hAnsi="Public Sans" w:cs="Segoe UI"/>
        </w:rPr>
        <w:t xml:space="preserve"> </w:t>
      </w:r>
      <w:r w:rsidR="007851A8">
        <w:rPr>
          <w:rFonts w:ascii="Public Sans" w:eastAsia="Helvetica" w:hAnsi="Public Sans" w:cs="Segoe UI"/>
        </w:rPr>
        <w:t>202</w:t>
      </w:r>
      <w:r w:rsidR="00FD3495">
        <w:rPr>
          <w:rFonts w:ascii="Public Sans" w:eastAsia="Helvetica" w:hAnsi="Public Sans" w:cs="Segoe UI"/>
        </w:rPr>
        <w:t>3</w:t>
      </w:r>
      <w:r w:rsidR="007851A8">
        <w:rPr>
          <w:rFonts w:ascii="Public Sans" w:eastAsia="Helvetica" w:hAnsi="Public Sans" w:cs="Segoe UI"/>
        </w:rPr>
        <w:t xml:space="preserve"> (1</w:t>
      </w:r>
      <w:r w:rsidR="00762A95">
        <w:rPr>
          <w:rFonts w:ascii="Public Sans" w:eastAsia="Helvetica" w:hAnsi="Public Sans" w:cs="Segoe UI"/>
        </w:rPr>
        <w:t>5</w:t>
      </w:r>
      <w:r w:rsidR="007851A8">
        <w:rPr>
          <w:rFonts w:ascii="Public Sans" w:eastAsia="Helvetica" w:hAnsi="Public Sans" w:cs="Segoe UI"/>
        </w:rPr>
        <w:t>,</w:t>
      </w:r>
      <w:r w:rsidR="00762A95">
        <w:rPr>
          <w:rFonts w:ascii="Public Sans" w:eastAsia="Helvetica" w:hAnsi="Public Sans" w:cs="Segoe UI"/>
        </w:rPr>
        <w:t>031</w:t>
      </w:r>
      <w:r w:rsidR="007851A8">
        <w:rPr>
          <w:rFonts w:ascii="Public Sans" w:eastAsia="Helvetica" w:hAnsi="Public Sans" w:cs="Segoe UI"/>
        </w:rPr>
        <w:t xml:space="preserve">) </w:t>
      </w:r>
      <w:r>
        <w:rPr>
          <w:rFonts w:ascii="Public Sans" w:eastAsia="Helvetica" w:hAnsi="Public Sans" w:cs="Segoe UI"/>
        </w:rPr>
        <w:t>was</w:t>
      </w:r>
      <w:r w:rsidR="007851A8">
        <w:rPr>
          <w:rFonts w:ascii="Public Sans" w:eastAsia="Helvetica" w:hAnsi="Public Sans" w:cs="Segoe UI"/>
        </w:rPr>
        <w:t xml:space="preserve"> </w:t>
      </w:r>
      <w:r w:rsidR="006813C5">
        <w:rPr>
          <w:rFonts w:ascii="Public Sans" w:eastAsia="Helvetica" w:hAnsi="Public Sans" w:cs="Segoe UI"/>
        </w:rPr>
        <w:t>1</w:t>
      </w:r>
      <w:r w:rsidR="00B76670">
        <w:rPr>
          <w:rFonts w:ascii="Public Sans" w:eastAsia="Helvetica" w:hAnsi="Public Sans" w:cs="Segoe UI"/>
        </w:rPr>
        <w:t>4</w:t>
      </w:r>
      <w:r w:rsidR="007851A8">
        <w:rPr>
          <w:rFonts w:ascii="Public Sans" w:eastAsia="Helvetica" w:hAnsi="Public Sans" w:cs="Segoe UI"/>
        </w:rPr>
        <w:t xml:space="preserve">% </w:t>
      </w:r>
      <w:r>
        <w:rPr>
          <w:rFonts w:ascii="Public Sans" w:eastAsia="Helvetica" w:hAnsi="Public Sans" w:cs="Segoe UI"/>
        </w:rPr>
        <w:t>higher than</w:t>
      </w:r>
      <w:r w:rsidR="007851A8">
        <w:rPr>
          <w:rFonts w:ascii="Public Sans" w:eastAsia="Helvetica" w:hAnsi="Public Sans" w:cs="Segoe UI"/>
        </w:rPr>
        <w:t xml:space="preserve"> </w:t>
      </w:r>
      <w:r w:rsidR="00FD3495">
        <w:rPr>
          <w:rFonts w:ascii="Public Sans" w:eastAsia="Helvetica" w:hAnsi="Public Sans" w:cs="Segoe UI"/>
        </w:rPr>
        <w:t>the previous year</w:t>
      </w:r>
      <w:r w:rsidR="007851A8">
        <w:rPr>
          <w:rFonts w:ascii="Public Sans" w:eastAsia="Helvetica" w:hAnsi="Public Sans" w:cs="Segoe UI"/>
        </w:rPr>
        <w:t xml:space="preserve"> (1</w:t>
      </w:r>
      <w:r w:rsidR="006813C5">
        <w:rPr>
          <w:rFonts w:ascii="Public Sans" w:eastAsia="Helvetica" w:hAnsi="Public Sans" w:cs="Segoe UI"/>
        </w:rPr>
        <w:t>3</w:t>
      </w:r>
      <w:r w:rsidR="007851A8">
        <w:rPr>
          <w:rFonts w:ascii="Public Sans" w:eastAsia="Helvetica" w:hAnsi="Public Sans" w:cs="Segoe UI"/>
        </w:rPr>
        <w:t>,</w:t>
      </w:r>
      <w:r w:rsidR="006813C5">
        <w:rPr>
          <w:rFonts w:ascii="Public Sans" w:eastAsia="Helvetica" w:hAnsi="Public Sans" w:cs="Segoe UI"/>
        </w:rPr>
        <w:t>157</w:t>
      </w:r>
      <w:r w:rsidR="007851A8">
        <w:rPr>
          <w:rFonts w:ascii="Public Sans" w:eastAsia="Helvetica" w:hAnsi="Public Sans" w:cs="Segoe UI"/>
        </w:rPr>
        <w:t xml:space="preserve">). </w:t>
      </w:r>
    </w:p>
    <w:p w14:paraId="3E53B104" w14:textId="77777777" w:rsidR="00D57958" w:rsidRPr="00965C05" w:rsidRDefault="00D57958" w:rsidP="00D57958">
      <w:pPr>
        <w:pStyle w:val="Body"/>
        <w:widowControl w:val="0"/>
        <w:spacing w:after="0" w:line="240" w:lineRule="auto"/>
        <w:rPr>
          <w:rFonts w:ascii="Public Sans" w:eastAsia="Helvetica" w:hAnsi="Public Sans" w:cs="Segoe UI"/>
        </w:rPr>
      </w:pPr>
      <w:r w:rsidRPr="00965C05">
        <w:rPr>
          <w:rFonts w:ascii="Public Sans" w:eastAsia="Helvetica" w:hAnsi="Public Sans" w:cs="Segoe UI"/>
        </w:rPr>
        <w:t xml:space="preserve"> </w:t>
      </w:r>
    </w:p>
    <w:p w14:paraId="2BBAC17E" w14:textId="44534140" w:rsidR="00D57958" w:rsidRDefault="00D57958" w:rsidP="0014378A">
      <w:pPr>
        <w:pStyle w:val="Body"/>
        <w:widowControl w:val="0"/>
        <w:spacing w:after="0" w:line="240" w:lineRule="auto"/>
        <w:rPr>
          <w:rFonts w:ascii="Public Sans" w:eastAsia="Helvetica" w:hAnsi="Public Sans" w:cs="Segoe UI"/>
          <w:b/>
          <w:sz w:val="18"/>
        </w:rPr>
      </w:pPr>
      <w:r w:rsidRPr="00965C05">
        <w:rPr>
          <w:rFonts w:ascii="Public Sans" w:eastAsia="Helvetica" w:hAnsi="Public Sans" w:cs="Segoe UI"/>
          <w:b/>
          <w:sz w:val="18"/>
        </w:rPr>
        <w:t xml:space="preserve">Figure 1: Number of calls received by the Helpline, by quarter, </w:t>
      </w:r>
      <w:r w:rsidR="0056075F">
        <w:rPr>
          <w:rFonts w:ascii="Public Sans" w:eastAsia="Helvetica" w:hAnsi="Public Sans" w:cs="Segoe UI"/>
          <w:b/>
          <w:sz w:val="18"/>
        </w:rPr>
        <w:t>Oct</w:t>
      </w:r>
      <w:r w:rsidRPr="00965C05">
        <w:rPr>
          <w:rFonts w:ascii="Public Sans" w:eastAsia="Helvetica" w:hAnsi="Public Sans" w:cs="Segoe UI"/>
          <w:b/>
          <w:sz w:val="18"/>
        </w:rPr>
        <w:t xml:space="preserve"> 20</w:t>
      </w:r>
      <w:r w:rsidR="00035721">
        <w:rPr>
          <w:rFonts w:ascii="Public Sans" w:eastAsia="Helvetica" w:hAnsi="Public Sans" w:cs="Segoe UI"/>
          <w:b/>
          <w:sz w:val="18"/>
        </w:rPr>
        <w:t>2</w:t>
      </w:r>
      <w:r w:rsidR="00E15A16">
        <w:rPr>
          <w:rFonts w:ascii="Public Sans" w:eastAsia="Helvetica" w:hAnsi="Public Sans" w:cs="Segoe UI"/>
          <w:b/>
          <w:sz w:val="18"/>
        </w:rPr>
        <w:t>1</w:t>
      </w:r>
      <w:r w:rsidRPr="00965C05">
        <w:rPr>
          <w:rFonts w:ascii="Public Sans" w:eastAsia="Helvetica" w:hAnsi="Public Sans" w:cs="Segoe UI"/>
          <w:b/>
          <w:sz w:val="18"/>
        </w:rPr>
        <w:t xml:space="preserve"> – </w:t>
      </w:r>
      <w:r w:rsidR="0056075F">
        <w:rPr>
          <w:rFonts w:ascii="Public Sans" w:eastAsia="Helvetica" w:hAnsi="Public Sans" w:cs="Segoe UI"/>
          <w:b/>
          <w:sz w:val="18"/>
        </w:rPr>
        <w:t>Sept</w:t>
      </w:r>
      <w:r w:rsidRPr="00965C05">
        <w:rPr>
          <w:rFonts w:ascii="Public Sans" w:eastAsia="Helvetica" w:hAnsi="Public Sans" w:cs="Segoe UI"/>
          <w:b/>
          <w:sz w:val="18"/>
        </w:rPr>
        <w:t xml:space="preserve"> 202</w:t>
      </w:r>
      <w:r w:rsidR="00E15A16">
        <w:rPr>
          <w:rFonts w:ascii="Public Sans" w:eastAsia="Helvetica" w:hAnsi="Public Sans" w:cs="Segoe UI"/>
          <w:b/>
          <w:sz w:val="18"/>
        </w:rPr>
        <w:t>3</w:t>
      </w:r>
    </w:p>
    <w:p w14:paraId="1EEABFFE" w14:textId="71D0F27E" w:rsidR="00C84970" w:rsidRPr="00965C05" w:rsidRDefault="00C84970" w:rsidP="0014378A">
      <w:pPr>
        <w:pStyle w:val="Body"/>
        <w:widowControl w:val="0"/>
        <w:spacing w:after="0" w:line="240" w:lineRule="auto"/>
        <w:rPr>
          <w:rFonts w:ascii="Public Sans" w:eastAsia="Helvetica" w:hAnsi="Public Sans" w:cs="Segoe UI"/>
          <w:b/>
          <w:sz w:val="18"/>
        </w:rPr>
      </w:pPr>
      <w:r>
        <w:rPr>
          <w:noProof/>
        </w:rPr>
        <w:drawing>
          <wp:inline distT="0" distB="0" distL="0" distR="0" wp14:anchorId="77F3BEEF" wp14:editId="7A73E5E4">
            <wp:extent cx="6076950" cy="2619375"/>
            <wp:effectExtent l="0" t="0" r="0" b="9525"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B1F98D16-A0DA-DB4F-F55D-D5E73593055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69DCCDA" w14:textId="73C2D019" w:rsidR="00D57958" w:rsidRPr="00965C05" w:rsidRDefault="00D57958" w:rsidP="00D57958">
      <w:pPr>
        <w:pStyle w:val="Body"/>
        <w:widowControl w:val="0"/>
        <w:spacing w:after="0" w:line="240" w:lineRule="auto"/>
        <w:rPr>
          <w:rFonts w:ascii="Public Sans" w:hAnsi="Public Sans"/>
          <w:noProof/>
        </w:rPr>
      </w:pPr>
    </w:p>
    <w:p w14:paraId="5EC88502" w14:textId="48FB2072" w:rsidR="00D57958" w:rsidRDefault="00D57958" w:rsidP="00014357">
      <w:pPr>
        <w:pStyle w:val="Body"/>
        <w:widowControl w:val="0"/>
        <w:spacing w:after="0" w:line="240" w:lineRule="auto"/>
        <w:rPr>
          <w:rFonts w:ascii="Public Sans" w:eastAsia="Helvetica" w:hAnsi="Public Sans" w:cs="Segoe UI"/>
          <w:sz w:val="18"/>
        </w:rPr>
      </w:pPr>
    </w:p>
    <w:p w14:paraId="65189A57" w14:textId="439BAB72" w:rsidR="006813C5" w:rsidRDefault="006813C5" w:rsidP="00014357">
      <w:pPr>
        <w:pStyle w:val="Body"/>
        <w:widowControl w:val="0"/>
        <w:spacing w:after="0" w:line="240" w:lineRule="auto"/>
        <w:rPr>
          <w:rFonts w:ascii="Public Sans" w:eastAsia="Helvetica" w:hAnsi="Public Sans" w:cs="Segoe UI"/>
          <w:szCs w:val="28"/>
        </w:rPr>
      </w:pPr>
    </w:p>
    <w:p w14:paraId="460D1718" w14:textId="77777777" w:rsidR="00384439" w:rsidRPr="006813C5" w:rsidRDefault="00384439" w:rsidP="00014357">
      <w:pPr>
        <w:pStyle w:val="Body"/>
        <w:widowControl w:val="0"/>
        <w:spacing w:after="0" w:line="240" w:lineRule="auto"/>
        <w:rPr>
          <w:rFonts w:ascii="Public Sans" w:eastAsia="Helvetica" w:hAnsi="Public Sans" w:cs="Segoe UI"/>
          <w:szCs w:val="28"/>
        </w:rPr>
      </w:pPr>
    </w:p>
    <w:p w14:paraId="4DA3984F" w14:textId="77777777" w:rsidR="00AB5515" w:rsidRPr="00B74CCF" w:rsidRDefault="00AB5515" w:rsidP="00AB5515">
      <w:pPr>
        <w:pStyle w:val="Heading3"/>
        <w:rPr>
          <w:rFonts w:ascii="Public Sans" w:hAnsi="Public Sans"/>
          <w:b/>
          <w:color w:val="auto"/>
        </w:rPr>
      </w:pPr>
      <w:r w:rsidRPr="00B74CCF">
        <w:rPr>
          <w:rFonts w:ascii="Public Sans" w:hAnsi="Public Sans"/>
          <w:b/>
          <w:color w:val="auto"/>
        </w:rPr>
        <w:t>1.2</w:t>
      </w:r>
      <w:r w:rsidRPr="00B74CCF">
        <w:rPr>
          <w:rFonts w:ascii="Public Sans" w:hAnsi="Public Sans"/>
          <w:b/>
          <w:color w:val="auto"/>
        </w:rPr>
        <w:tab/>
      </w:r>
      <w:r w:rsidR="00014357" w:rsidRPr="00B74CCF">
        <w:rPr>
          <w:rFonts w:ascii="Public Sans" w:hAnsi="Public Sans"/>
          <w:b/>
          <w:color w:val="auto"/>
        </w:rPr>
        <w:t>Number of reports and enquiries</w:t>
      </w:r>
    </w:p>
    <w:p w14:paraId="1816EED6" w14:textId="38E26E9F" w:rsidR="003D12AF" w:rsidRPr="005576E4" w:rsidRDefault="003D12AF" w:rsidP="003D12AF">
      <w:pPr>
        <w:pStyle w:val="Body"/>
        <w:widowControl w:val="0"/>
        <w:spacing w:before="120" w:after="0" w:line="240" w:lineRule="auto"/>
        <w:jc w:val="both"/>
        <w:rPr>
          <w:rFonts w:ascii="Public Sans" w:eastAsia="Helvetica" w:hAnsi="Public Sans" w:cs="Segoe UI"/>
        </w:rPr>
      </w:pPr>
      <w:r w:rsidRPr="005576E4">
        <w:rPr>
          <w:rFonts w:ascii="Public Sans" w:eastAsia="Helvetica" w:hAnsi="Public Sans" w:cs="Segoe UI"/>
        </w:rPr>
        <w:t xml:space="preserve">Between 1 </w:t>
      </w:r>
      <w:r w:rsidR="006813C5">
        <w:rPr>
          <w:rFonts w:ascii="Public Sans" w:eastAsia="Helvetica" w:hAnsi="Public Sans" w:cs="Segoe UI"/>
        </w:rPr>
        <w:t>Ju</w:t>
      </w:r>
      <w:r w:rsidR="00160523">
        <w:rPr>
          <w:rFonts w:ascii="Public Sans" w:eastAsia="Helvetica" w:hAnsi="Public Sans" w:cs="Segoe UI"/>
        </w:rPr>
        <w:t>ly</w:t>
      </w:r>
      <w:r w:rsidRPr="005576E4">
        <w:rPr>
          <w:rFonts w:ascii="Public Sans" w:eastAsia="Helvetica" w:hAnsi="Public Sans" w:cs="Segoe UI"/>
        </w:rPr>
        <w:t xml:space="preserve"> and 3</w:t>
      </w:r>
      <w:r w:rsidR="006813C5">
        <w:rPr>
          <w:rFonts w:ascii="Public Sans" w:eastAsia="Helvetica" w:hAnsi="Public Sans" w:cs="Segoe UI"/>
        </w:rPr>
        <w:t>0 September</w:t>
      </w:r>
      <w:r w:rsidRPr="005576E4">
        <w:rPr>
          <w:rFonts w:ascii="Public Sans" w:eastAsia="Helvetica" w:hAnsi="Public Sans" w:cs="Segoe UI"/>
        </w:rPr>
        <w:t xml:space="preserve"> 202</w:t>
      </w:r>
      <w:r w:rsidR="000F2BF5">
        <w:rPr>
          <w:rFonts w:ascii="Public Sans" w:eastAsia="Helvetica" w:hAnsi="Public Sans" w:cs="Segoe UI"/>
        </w:rPr>
        <w:t>3</w:t>
      </w:r>
      <w:r w:rsidRPr="005576E4">
        <w:rPr>
          <w:rFonts w:ascii="Public Sans" w:eastAsia="Helvetica" w:hAnsi="Public Sans" w:cs="Segoe UI"/>
        </w:rPr>
        <w:t xml:space="preserve">, the ADC received </w:t>
      </w:r>
      <w:r w:rsidRPr="005576E4">
        <w:rPr>
          <w:rFonts w:ascii="Public Sans" w:eastAsia="Helvetica" w:hAnsi="Public Sans" w:cs="Segoe UI"/>
          <w:b/>
        </w:rPr>
        <w:t>1,</w:t>
      </w:r>
      <w:r w:rsidR="00160523">
        <w:rPr>
          <w:rFonts w:ascii="Public Sans" w:eastAsia="Helvetica" w:hAnsi="Public Sans" w:cs="Segoe UI"/>
          <w:b/>
        </w:rPr>
        <w:t>622</w:t>
      </w:r>
      <w:r w:rsidR="00823835">
        <w:rPr>
          <w:rFonts w:ascii="Public Sans" w:eastAsia="Helvetica" w:hAnsi="Public Sans" w:cs="Segoe UI"/>
          <w:b/>
        </w:rPr>
        <w:t xml:space="preserve"> </w:t>
      </w:r>
      <w:r w:rsidRPr="005576E4">
        <w:rPr>
          <w:rFonts w:ascii="Public Sans" w:eastAsia="Helvetica" w:hAnsi="Public Sans" w:cs="Segoe UI"/>
          <w:b/>
        </w:rPr>
        <w:t>matters</w:t>
      </w:r>
      <w:r w:rsidRPr="005576E4">
        <w:rPr>
          <w:rFonts w:ascii="Public Sans" w:eastAsia="Helvetica" w:hAnsi="Public Sans" w:cs="Segoe UI"/>
        </w:rPr>
        <w:t>, comprising:</w:t>
      </w:r>
    </w:p>
    <w:p w14:paraId="42D53CF1" w14:textId="57F3E929" w:rsidR="003D12AF" w:rsidRPr="005576E4" w:rsidRDefault="000F2BF5" w:rsidP="003D12AF">
      <w:pPr>
        <w:pStyle w:val="Body"/>
        <w:widowControl w:val="0"/>
        <w:numPr>
          <w:ilvl w:val="0"/>
          <w:numId w:val="39"/>
        </w:numPr>
        <w:spacing w:before="120" w:after="0" w:line="240" w:lineRule="auto"/>
        <w:ind w:left="709"/>
        <w:rPr>
          <w:rFonts w:ascii="Public Sans" w:eastAsia="Helvetica" w:hAnsi="Public Sans" w:cs="Segoe UI"/>
        </w:rPr>
      </w:pPr>
      <w:r>
        <w:rPr>
          <w:rFonts w:ascii="Public Sans" w:eastAsia="Helvetica" w:hAnsi="Public Sans" w:cs="Segoe UI"/>
          <w:b/>
        </w:rPr>
        <w:t>1,</w:t>
      </w:r>
      <w:r w:rsidR="00160523">
        <w:rPr>
          <w:rFonts w:ascii="Public Sans" w:eastAsia="Helvetica" w:hAnsi="Public Sans" w:cs="Segoe UI"/>
          <w:b/>
        </w:rPr>
        <w:t>339</w:t>
      </w:r>
      <w:r w:rsidR="00035721">
        <w:rPr>
          <w:rFonts w:ascii="Public Sans" w:eastAsia="Helvetica" w:hAnsi="Public Sans" w:cs="Segoe UI"/>
          <w:b/>
        </w:rPr>
        <w:t xml:space="preserve"> </w:t>
      </w:r>
      <w:r w:rsidR="003D12AF" w:rsidRPr="005576E4">
        <w:rPr>
          <w:rFonts w:ascii="Public Sans" w:eastAsia="Helvetica" w:hAnsi="Public Sans" w:cs="Segoe UI"/>
          <w:b/>
        </w:rPr>
        <w:t>reports</w:t>
      </w:r>
      <w:r w:rsidR="003D12AF" w:rsidRPr="005576E4">
        <w:rPr>
          <w:rFonts w:ascii="Public Sans" w:eastAsia="Helvetica" w:hAnsi="Public Sans" w:cs="Segoe UI"/>
        </w:rPr>
        <w:t xml:space="preserve"> under section 13 of the </w:t>
      </w:r>
      <w:r w:rsidR="003D12AF" w:rsidRPr="005576E4">
        <w:rPr>
          <w:rFonts w:ascii="Public Sans" w:eastAsia="Helvetica" w:hAnsi="Public Sans" w:cs="Segoe UI"/>
          <w:i/>
        </w:rPr>
        <w:t>Ageing and Disability Commissioner Act 2019</w:t>
      </w:r>
    </w:p>
    <w:p w14:paraId="098FC20B" w14:textId="55615498" w:rsidR="003D12AF" w:rsidRPr="005576E4" w:rsidRDefault="000F2BF5" w:rsidP="003D12AF">
      <w:pPr>
        <w:pStyle w:val="Body"/>
        <w:widowControl w:val="0"/>
        <w:numPr>
          <w:ilvl w:val="0"/>
          <w:numId w:val="39"/>
        </w:numPr>
        <w:spacing w:before="120" w:after="0" w:line="240" w:lineRule="auto"/>
        <w:ind w:left="709"/>
        <w:rPr>
          <w:rFonts w:ascii="Public Sans" w:eastAsia="Helvetica" w:hAnsi="Public Sans" w:cs="Segoe UI"/>
        </w:rPr>
      </w:pPr>
      <w:r>
        <w:rPr>
          <w:rFonts w:ascii="Public Sans" w:eastAsia="Helvetica" w:hAnsi="Public Sans" w:cs="Segoe UI"/>
          <w:b/>
        </w:rPr>
        <w:t>2</w:t>
      </w:r>
      <w:r w:rsidR="00160523">
        <w:rPr>
          <w:rFonts w:ascii="Public Sans" w:eastAsia="Helvetica" w:hAnsi="Public Sans" w:cs="Segoe UI"/>
          <w:b/>
        </w:rPr>
        <w:t>83</w:t>
      </w:r>
      <w:r w:rsidR="003D12AF" w:rsidRPr="005576E4">
        <w:rPr>
          <w:rFonts w:ascii="Public Sans" w:eastAsia="Helvetica" w:hAnsi="Public Sans" w:cs="Segoe UI"/>
          <w:b/>
        </w:rPr>
        <w:t xml:space="preserve"> enquiries</w:t>
      </w:r>
      <w:r w:rsidR="00D026DB">
        <w:rPr>
          <w:rFonts w:ascii="Public Sans" w:eastAsia="Helvetica" w:hAnsi="Public Sans" w:cs="Segoe UI"/>
        </w:rPr>
        <w:t xml:space="preserve"> – involving </w:t>
      </w:r>
      <w:r w:rsidR="00160523">
        <w:rPr>
          <w:rFonts w:ascii="Public Sans" w:eastAsia="Helvetica" w:hAnsi="Public Sans" w:cs="Segoe UI"/>
        </w:rPr>
        <w:t>89</w:t>
      </w:r>
      <w:r w:rsidR="003D12AF" w:rsidRPr="005576E4">
        <w:rPr>
          <w:rFonts w:ascii="Public Sans" w:eastAsia="Helvetica" w:hAnsi="Public Sans" w:cs="Segoe UI"/>
        </w:rPr>
        <w:t xml:space="preserve"> general enquiries, and </w:t>
      </w:r>
      <w:r w:rsidR="00160523">
        <w:rPr>
          <w:rFonts w:ascii="Public Sans" w:eastAsia="Helvetica" w:hAnsi="Public Sans" w:cs="Segoe UI"/>
        </w:rPr>
        <w:t>194</w:t>
      </w:r>
      <w:r w:rsidR="003D12AF" w:rsidRPr="005576E4">
        <w:rPr>
          <w:rFonts w:ascii="Public Sans" w:eastAsia="Helvetica" w:hAnsi="Public Sans" w:cs="Segoe UI"/>
        </w:rPr>
        <w:t xml:space="preserve"> abuse-related enquiries. </w:t>
      </w:r>
    </w:p>
    <w:p w14:paraId="6B13E753" w14:textId="77777777" w:rsidR="003D12AF" w:rsidRPr="005576E4" w:rsidRDefault="003D12AF" w:rsidP="003D12AF">
      <w:pPr>
        <w:spacing w:after="0" w:line="240" w:lineRule="auto"/>
        <w:rPr>
          <w:rFonts w:ascii="Public Sans" w:hAnsi="Public Sans" w:cs="Segoe UI"/>
          <w:b/>
          <w:sz w:val="20"/>
          <w:highlight w:val="yellow"/>
        </w:rPr>
      </w:pPr>
    </w:p>
    <w:p w14:paraId="19CF6DBA" w14:textId="00632687" w:rsidR="00384439" w:rsidRDefault="001609A4" w:rsidP="00384439">
      <w:pPr>
        <w:spacing w:after="0" w:line="240" w:lineRule="auto"/>
        <w:rPr>
          <w:rFonts w:ascii="Public Sans" w:hAnsi="Public Sans" w:cs="Segoe UI"/>
        </w:rPr>
      </w:pPr>
      <w:r>
        <w:rPr>
          <w:rFonts w:ascii="Public Sans" w:hAnsi="Public Sans" w:cs="Segoe UI"/>
        </w:rPr>
        <w:t xml:space="preserve">The number of </w:t>
      </w:r>
      <w:r w:rsidRPr="00B52BD2">
        <w:rPr>
          <w:rFonts w:ascii="Public Sans" w:hAnsi="Public Sans" w:cs="Segoe UI"/>
          <w:b/>
        </w:rPr>
        <w:t>reports</w:t>
      </w:r>
      <w:r>
        <w:rPr>
          <w:rFonts w:ascii="Public Sans" w:hAnsi="Public Sans" w:cs="Segoe UI"/>
        </w:rPr>
        <w:t xml:space="preserve"> in </w:t>
      </w:r>
      <w:r w:rsidR="00160523">
        <w:rPr>
          <w:rFonts w:ascii="Public Sans" w:hAnsi="Public Sans" w:cs="Segoe UI"/>
        </w:rPr>
        <w:t>July</w:t>
      </w:r>
      <w:r>
        <w:rPr>
          <w:rFonts w:ascii="Public Sans" w:hAnsi="Public Sans" w:cs="Segoe UI"/>
        </w:rPr>
        <w:t xml:space="preserve"> – </w:t>
      </w:r>
      <w:r w:rsidR="00160523">
        <w:rPr>
          <w:rFonts w:ascii="Public Sans" w:hAnsi="Public Sans" w:cs="Segoe UI"/>
        </w:rPr>
        <w:t>September</w:t>
      </w:r>
      <w:r>
        <w:rPr>
          <w:rFonts w:ascii="Public Sans" w:hAnsi="Public Sans" w:cs="Segoe UI"/>
        </w:rPr>
        <w:t xml:space="preserve"> was </w:t>
      </w:r>
      <w:r w:rsidR="00384439">
        <w:rPr>
          <w:rFonts w:ascii="Public Sans" w:hAnsi="Public Sans" w:cs="Segoe UI"/>
        </w:rPr>
        <w:t>the highest number of reports received in a</w:t>
      </w:r>
      <w:r w:rsidR="00FC71A5">
        <w:rPr>
          <w:rFonts w:ascii="Public Sans" w:hAnsi="Public Sans" w:cs="Segoe UI"/>
        </w:rPr>
        <w:t>ny</w:t>
      </w:r>
      <w:r w:rsidR="00384439">
        <w:rPr>
          <w:rFonts w:ascii="Public Sans" w:hAnsi="Public Sans" w:cs="Segoe UI"/>
        </w:rPr>
        <w:t xml:space="preserve"> quarter since the ADC’s commencement. The number of reports in this quarter was </w:t>
      </w:r>
      <w:r w:rsidR="00B52BD2">
        <w:rPr>
          <w:rFonts w:ascii="Public Sans" w:hAnsi="Public Sans" w:cs="Segoe UI"/>
        </w:rPr>
        <w:t>2</w:t>
      </w:r>
      <w:r w:rsidR="00160523">
        <w:rPr>
          <w:rFonts w:ascii="Public Sans" w:hAnsi="Public Sans" w:cs="Segoe UI"/>
        </w:rPr>
        <w:t>2</w:t>
      </w:r>
      <w:r>
        <w:rPr>
          <w:rFonts w:ascii="Public Sans" w:hAnsi="Public Sans" w:cs="Segoe UI"/>
        </w:rPr>
        <w:t xml:space="preserve">% </w:t>
      </w:r>
      <w:r w:rsidR="00B52BD2">
        <w:rPr>
          <w:rFonts w:ascii="Public Sans" w:hAnsi="Public Sans" w:cs="Segoe UI"/>
        </w:rPr>
        <w:t>higher</w:t>
      </w:r>
      <w:r>
        <w:rPr>
          <w:rFonts w:ascii="Public Sans" w:hAnsi="Public Sans" w:cs="Segoe UI"/>
        </w:rPr>
        <w:t xml:space="preserve"> than the previous quarter, </w:t>
      </w:r>
      <w:r w:rsidR="00384439">
        <w:rPr>
          <w:rFonts w:ascii="Public Sans" w:hAnsi="Public Sans" w:cs="Segoe UI"/>
        </w:rPr>
        <w:t xml:space="preserve">and </w:t>
      </w:r>
      <w:r w:rsidR="00160523">
        <w:rPr>
          <w:rFonts w:ascii="Public Sans" w:hAnsi="Public Sans" w:cs="Segoe UI"/>
        </w:rPr>
        <w:t>10</w:t>
      </w:r>
      <w:r w:rsidR="00B22EE9">
        <w:rPr>
          <w:rFonts w:ascii="Public Sans" w:hAnsi="Public Sans" w:cs="Segoe UI"/>
        </w:rPr>
        <w:t>% higher than</w:t>
      </w:r>
      <w:r>
        <w:rPr>
          <w:rFonts w:ascii="Public Sans" w:hAnsi="Public Sans" w:cs="Segoe UI"/>
        </w:rPr>
        <w:t xml:space="preserve"> the same period last year</w:t>
      </w:r>
      <w:r w:rsidR="00384439">
        <w:rPr>
          <w:rFonts w:ascii="Public Sans" w:hAnsi="Public Sans" w:cs="Segoe UI"/>
        </w:rPr>
        <w:t>.</w:t>
      </w:r>
      <w:r w:rsidR="00D026DB">
        <w:rPr>
          <w:rFonts w:ascii="Public Sans" w:hAnsi="Public Sans" w:cs="Segoe UI"/>
        </w:rPr>
        <w:t xml:space="preserve"> </w:t>
      </w:r>
    </w:p>
    <w:p w14:paraId="3B8E7C07" w14:textId="77777777" w:rsidR="00384439" w:rsidRDefault="00384439" w:rsidP="00384439">
      <w:pPr>
        <w:spacing w:after="0" w:line="240" w:lineRule="auto"/>
        <w:rPr>
          <w:rFonts w:ascii="Public Sans" w:hAnsi="Public Sans" w:cs="Segoe UI"/>
        </w:rPr>
      </w:pPr>
    </w:p>
    <w:p w14:paraId="759E585B" w14:textId="440D0C3F" w:rsidR="003D12AF" w:rsidRPr="005576E4" w:rsidRDefault="00D026DB" w:rsidP="00384439">
      <w:pPr>
        <w:spacing w:after="0" w:line="240" w:lineRule="auto"/>
        <w:rPr>
          <w:rFonts w:ascii="Public Sans" w:hAnsi="Public Sans" w:cs="Segoe UI"/>
        </w:rPr>
      </w:pPr>
      <w:r>
        <w:rPr>
          <w:rFonts w:ascii="Public Sans" w:hAnsi="Public Sans" w:cs="Segoe UI"/>
        </w:rPr>
        <w:t xml:space="preserve">The </w:t>
      </w:r>
      <w:r w:rsidR="007F41BF">
        <w:rPr>
          <w:rFonts w:ascii="Public Sans" w:hAnsi="Public Sans" w:cs="Segoe UI"/>
        </w:rPr>
        <w:t xml:space="preserve">number of reports in </w:t>
      </w:r>
      <w:r w:rsidR="00B52BD2">
        <w:rPr>
          <w:rFonts w:ascii="Public Sans" w:hAnsi="Public Sans" w:cs="Segoe UI"/>
        </w:rPr>
        <w:t xml:space="preserve">the 12 months to </w:t>
      </w:r>
      <w:r w:rsidR="00160523">
        <w:rPr>
          <w:rFonts w:ascii="Public Sans" w:hAnsi="Public Sans" w:cs="Segoe UI"/>
        </w:rPr>
        <w:t>September</w:t>
      </w:r>
      <w:r w:rsidR="00B52BD2">
        <w:rPr>
          <w:rFonts w:ascii="Public Sans" w:hAnsi="Public Sans" w:cs="Segoe UI"/>
        </w:rPr>
        <w:t xml:space="preserve"> 2023</w:t>
      </w:r>
      <w:r w:rsidR="007F41BF">
        <w:rPr>
          <w:rFonts w:ascii="Public Sans" w:hAnsi="Public Sans" w:cs="Segoe UI"/>
        </w:rPr>
        <w:t xml:space="preserve"> </w:t>
      </w:r>
      <w:r w:rsidR="00384439">
        <w:rPr>
          <w:rFonts w:ascii="Public Sans" w:hAnsi="Public Sans" w:cs="Segoe UI"/>
        </w:rPr>
        <w:t xml:space="preserve">(5,502) </w:t>
      </w:r>
      <w:r w:rsidR="008D1B90">
        <w:rPr>
          <w:rFonts w:ascii="Public Sans" w:hAnsi="Public Sans" w:cs="Segoe UI"/>
        </w:rPr>
        <w:t xml:space="preserve">was </w:t>
      </w:r>
      <w:r w:rsidR="00160523">
        <w:rPr>
          <w:rFonts w:ascii="Public Sans" w:hAnsi="Public Sans" w:cs="Segoe UI"/>
        </w:rPr>
        <w:t>4</w:t>
      </w:r>
      <w:r w:rsidR="008D1B90">
        <w:rPr>
          <w:rFonts w:ascii="Public Sans" w:hAnsi="Public Sans" w:cs="Segoe UI"/>
        </w:rPr>
        <w:t xml:space="preserve">% higher than </w:t>
      </w:r>
      <w:r w:rsidR="00B52BD2">
        <w:rPr>
          <w:rFonts w:ascii="Public Sans" w:hAnsi="Public Sans" w:cs="Segoe UI"/>
        </w:rPr>
        <w:t>the previous year</w:t>
      </w:r>
      <w:r w:rsidR="00384439">
        <w:rPr>
          <w:rFonts w:ascii="Public Sans" w:hAnsi="Public Sans" w:cs="Segoe UI"/>
        </w:rPr>
        <w:t xml:space="preserve"> (5,289)</w:t>
      </w:r>
      <w:r w:rsidR="008D1B90">
        <w:rPr>
          <w:rFonts w:ascii="Public Sans" w:hAnsi="Public Sans" w:cs="Segoe UI"/>
        </w:rPr>
        <w:t xml:space="preserve">. </w:t>
      </w:r>
    </w:p>
    <w:p w14:paraId="56B088FA" w14:textId="7F3BD605" w:rsidR="003D12AF" w:rsidRDefault="003D12AF" w:rsidP="003D12AF">
      <w:pPr>
        <w:spacing w:after="0" w:line="240" w:lineRule="auto"/>
        <w:rPr>
          <w:rFonts w:ascii="Public Sans" w:hAnsi="Public Sans" w:cs="Segoe UI"/>
          <w:b/>
          <w:sz w:val="18"/>
        </w:rPr>
      </w:pPr>
    </w:p>
    <w:p w14:paraId="358E8A02" w14:textId="385142DF" w:rsidR="00384439" w:rsidRDefault="00384439" w:rsidP="003D12AF">
      <w:pPr>
        <w:spacing w:after="0" w:line="240" w:lineRule="auto"/>
        <w:rPr>
          <w:rFonts w:ascii="Public Sans" w:hAnsi="Public Sans" w:cs="Segoe UI"/>
          <w:b/>
          <w:sz w:val="18"/>
        </w:rPr>
      </w:pPr>
    </w:p>
    <w:p w14:paraId="5C2DCD48" w14:textId="77777777" w:rsidR="00606561" w:rsidRDefault="00606561" w:rsidP="003D12AF">
      <w:pPr>
        <w:spacing w:after="0" w:line="240" w:lineRule="auto"/>
        <w:rPr>
          <w:rFonts w:ascii="Public Sans" w:hAnsi="Public Sans" w:cs="Segoe UI"/>
          <w:b/>
          <w:sz w:val="18"/>
        </w:rPr>
      </w:pPr>
    </w:p>
    <w:p w14:paraId="4D83CAA4" w14:textId="235A59A5" w:rsidR="003D12AF" w:rsidRPr="00B74CCF" w:rsidRDefault="003D12AF" w:rsidP="003D12AF">
      <w:pPr>
        <w:spacing w:after="0" w:line="240" w:lineRule="auto"/>
        <w:rPr>
          <w:rFonts w:ascii="Public Sans" w:eastAsia="Arial Unicode MS" w:hAnsi="Public Sans" w:cs="Segoe UI"/>
          <w:b/>
          <w:sz w:val="20"/>
          <w:szCs w:val="24"/>
        </w:rPr>
      </w:pPr>
      <w:r w:rsidRPr="00B74CCF">
        <w:rPr>
          <w:rFonts w:ascii="Public Sans" w:hAnsi="Public Sans" w:cs="Segoe UI"/>
          <w:b/>
          <w:sz w:val="18"/>
        </w:rPr>
        <w:lastRenderedPageBreak/>
        <w:t xml:space="preserve">Figure 2: </w:t>
      </w:r>
      <w:r w:rsidRPr="00B74CCF">
        <w:rPr>
          <w:rFonts w:ascii="Public Sans" w:eastAsia="Arial Unicode MS" w:hAnsi="Public Sans" w:cs="Segoe UI"/>
          <w:b/>
          <w:sz w:val="18"/>
          <w:szCs w:val="24"/>
        </w:rPr>
        <w:t xml:space="preserve">All matters received by the ADC, by quarter, </w:t>
      </w:r>
      <w:r w:rsidR="003C55BB">
        <w:rPr>
          <w:rFonts w:ascii="Public Sans" w:eastAsia="Arial Unicode MS" w:hAnsi="Public Sans" w:cs="Segoe UI"/>
          <w:b/>
          <w:sz w:val="18"/>
          <w:szCs w:val="24"/>
        </w:rPr>
        <w:t>Oct</w:t>
      </w:r>
      <w:r w:rsidRPr="00B74CCF">
        <w:rPr>
          <w:rFonts w:ascii="Public Sans" w:eastAsia="Arial Unicode MS" w:hAnsi="Public Sans" w:cs="Segoe UI"/>
          <w:b/>
          <w:sz w:val="18"/>
          <w:szCs w:val="24"/>
        </w:rPr>
        <w:t xml:space="preserve"> 20</w:t>
      </w:r>
      <w:r w:rsidR="001359EE">
        <w:rPr>
          <w:rFonts w:ascii="Public Sans" w:eastAsia="Arial Unicode MS" w:hAnsi="Public Sans" w:cs="Segoe UI"/>
          <w:b/>
          <w:sz w:val="18"/>
          <w:szCs w:val="24"/>
        </w:rPr>
        <w:t>2</w:t>
      </w:r>
      <w:r w:rsidR="000F2BF5">
        <w:rPr>
          <w:rFonts w:ascii="Public Sans" w:eastAsia="Arial Unicode MS" w:hAnsi="Public Sans" w:cs="Segoe UI"/>
          <w:b/>
          <w:sz w:val="18"/>
          <w:szCs w:val="24"/>
        </w:rPr>
        <w:t>1</w:t>
      </w:r>
      <w:r w:rsidRPr="00B74CCF">
        <w:rPr>
          <w:rFonts w:ascii="Public Sans" w:eastAsia="Arial Unicode MS" w:hAnsi="Public Sans" w:cs="Segoe UI"/>
          <w:b/>
          <w:sz w:val="18"/>
          <w:szCs w:val="24"/>
        </w:rPr>
        <w:t xml:space="preserve"> – </w:t>
      </w:r>
      <w:r w:rsidR="003C55BB">
        <w:rPr>
          <w:rFonts w:ascii="Public Sans" w:eastAsia="Arial Unicode MS" w:hAnsi="Public Sans" w:cs="Segoe UI"/>
          <w:b/>
          <w:sz w:val="18"/>
          <w:szCs w:val="24"/>
        </w:rPr>
        <w:t>Sept</w:t>
      </w:r>
      <w:r w:rsidRPr="00B74CCF">
        <w:rPr>
          <w:rFonts w:ascii="Public Sans" w:eastAsia="Arial Unicode MS" w:hAnsi="Public Sans" w:cs="Segoe UI"/>
          <w:b/>
          <w:sz w:val="18"/>
          <w:szCs w:val="24"/>
        </w:rPr>
        <w:t xml:space="preserve"> 202</w:t>
      </w:r>
      <w:r w:rsidR="000F2BF5">
        <w:rPr>
          <w:rFonts w:ascii="Public Sans" w:eastAsia="Arial Unicode MS" w:hAnsi="Public Sans" w:cs="Segoe UI"/>
          <w:b/>
          <w:sz w:val="18"/>
          <w:szCs w:val="24"/>
        </w:rPr>
        <w:t>3</w:t>
      </w:r>
    </w:p>
    <w:p w14:paraId="5401DE07" w14:textId="14B35A36" w:rsidR="003D12AF" w:rsidRDefault="00384439" w:rsidP="003D12AF">
      <w:pPr>
        <w:spacing w:after="0" w:line="240" w:lineRule="auto"/>
        <w:rPr>
          <w:rFonts w:ascii="Public Sans" w:eastAsia="Arial Unicode MS" w:hAnsi="Public Sans" w:cs="Segoe UI"/>
          <w:b/>
          <w:sz w:val="20"/>
          <w:szCs w:val="24"/>
        </w:rPr>
      </w:pPr>
      <w:r>
        <w:rPr>
          <w:noProof/>
        </w:rPr>
        <w:drawing>
          <wp:inline distT="0" distB="0" distL="0" distR="0" wp14:anchorId="00F9A772" wp14:editId="6D26D8B5">
            <wp:extent cx="5991225" cy="2924175"/>
            <wp:effectExtent l="0" t="0" r="9525" b="9525"/>
            <wp:docPr id="7" name="Chart 7">
              <a:extLst xmlns:a="http://schemas.openxmlformats.org/drawingml/2006/main">
                <a:ext uri="{FF2B5EF4-FFF2-40B4-BE49-F238E27FC236}">
                  <a16:creationId xmlns:a16="http://schemas.microsoft.com/office/drawing/2014/main" id="{21AEC66C-9871-1E0F-9CCA-E2AB1664195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F6B7C81" w14:textId="39943F33" w:rsidR="00606561" w:rsidRDefault="00606561" w:rsidP="003D12AF">
      <w:pPr>
        <w:spacing w:after="0" w:line="240" w:lineRule="auto"/>
        <w:rPr>
          <w:rFonts w:ascii="Public Sans" w:eastAsia="Arial Unicode MS" w:hAnsi="Public Sans" w:cs="Segoe UI"/>
          <w:b/>
          <w:sz w:val="20"/>
          <w:szCs w:val="24"/>
        </w:rPr>
      </w:pPr>
    </w:p>
    <w:p w14:paraId="0749554F" w14:textId="77777777" w:rsidR="00606561" w:rsidRDefault="00606561" w:rsidP="003D12AF">
      <w:pPr>
        <w:spacing w:after="0" w:line="240" w:lineRule="auto"/>
        <w:rPr>
          <w:rFonts w:ascii="Public Sans" w:eastAsia="Arial Unicode MS" w:hAnsi="Public Sans" w:cs="Segoe UI"/>
          <w:b/>
          <w:sz w:val="20"/>
          <w:szCs w:val="24"/>
        </w:rPr>
      </w:pPr>
    </w:p>
    <w:p w14:paraId="66AF9453" w14:textId="77777777" w:rsidR="00E403D8" w:rsidRPr="00B74CCF" w:rsidRDefault="003D0AF3" w:rsidP="00E134D4">
      <w:pPr>
        <w:pStyle w:val="Heading1"/>
        <w:numPr>
          <w:ilvl w:val="0"/>
          <w:numId w:val="10"/>
        </w:numPr>
        <w:spacing w:before="0" w:after="0"/>
        <w:ind w:left="426" w:hanging="426"/>
        <w:rPr>
          <w:rFonts w:ascii="Public Sans" w:hAnsi="Public Sans"/>
          <w:b/>
          <w:color w:val="auto"/>
        </w:rPr>
      </w:pPr>
      <w:r w:rsidRPr="00B74CCF">
        <w:rPr>
          <w:rFonts w:ascii="Public Sans" w:hAnsi="Public Sans"/>
          <w:b/>
          <w:color w:val="auto"/>
        </w:rPr>
        <w:t>Person status and d</w:t>
      </w:r>
      <w:r w:rsidR="00DE7A39" w:rsidRPr="00B74CCF">
        <w:rPr>
          <w:rFonts w:ascii="Public Sans" w:hAnsi="Public Sans"/>
          <w:b/>
          <w:color w:val="auto"/>
        </w:rPr>
        <w:t>emographic</w:t>
      </w:r>
      <w:r w:rsidRPr="00B74CCF">
        <w:rPr>
          <w:rFonts w:ascii="Public Sans" w:hAnsi="Public Sans"/>
          <w:b/>
          <w:color w:val="auto"/>
        </w:rPr>
        <w:t>s</w:t>
      </w:r>
      <w:r w:rsidR="003D4C54">
        <w:rPr>
          <w:rStyle w:val="FootnoteReference"/>
          <w:rFonts w:ascii="Public Sans" w:hAnsi="Public Sans"/>
          <w:b/>
          <w:color w:val="auto"/>
        </w:rPr>
        <w:footnoteReference w:id="1"/>
      </w:r>
      <w:r w:rsidR="00DE7A39" w:rsidRPr="00B74CCF">
        <w:rPr>
          <w:rFonts w:ascii="Public Sans" w:hAnsi="Public Sans"/>
          <w:b/>
          <w:color w:val="auto"/>
        </w:rPr>
        <w:t xml:space="preserve"> </w:t>
      </w:r>
    </w:p>
    <w:p w14:paraId="78DA0F90" w14:textId="77777777" w:rsidR="00214713" w:rsidRPr="00B74CCF" w:rsidRDefault="00214713" w:rsidP="00214713">
      <w:pPr>
        <w:spacing w:after="0" w:line="240" w:lineRule="auto"/>
        <w:rPr>
          <w:rFonts w:ascii="Public Sans" w:hAnsi="Public Sans"/>
        </w:rPr>
      </w:pPr>
    </w:p>
    <w:p w14:paraId="6093F83A" w14:textId="77777777" w:rsidR="003D0AF3" w:rsidRPr="00B74CCF" w:rsidRDefault="003D0AF3" w:rsidP="00214713">
      <w:pPr>
        <w:pStyle w:val="Heading2"/>
        <w:spacing w:before="0"/>
        <w:rPr>
          <w:rFonts w:ascii="Public Sans" w:hAnsi="Public Sans"/>
          <w:b/>
          <w:color w:val="auto"/>
        </w:rPr>
      </w:pPr>
      <w:r w:rsidRPr="00B74CCF">
        <w:rPr>
          <w:rFonts w:ascii="Public Sans" w:hAnsi="Public Sans"/>
          <w:b/>
          <w:color w:val="auto"/>
        </w:rPr>
        <w:t>2.1</w:t>
      </w:r>
      <w:r w:rsidRPr="00B74CCF">
        <w:rPr>
          <w:rFonts w:ascii="Public Sans" w:hAnsi="Public Sans"/>
          <w:b/>
          <w:color w:val="auto"/>
        </w:rPr>
        <w:tab/>
      </w:r>
      <w:r w:rsidR="00EC4EA0" w:rsidRPr="00B74CCF">
        <w:rPr>
          <w:rFonts w:ascii="Public Sans" w:hAnsi="Public Sans"/>
          <w:b/>
          <w:color w:val="auto"/>
        </w:rPr>
        <w:t>Person status</w:t>
      </w:r>
    </w:p>
    <w:p w14:paraId="27A6BF16" w14:textId="77777777" w:rsidR="003D0AF3" w:rsidRPr="005576E4" w:rsidRDefault="003D0AF3" w:rsidP="003D0AF3">
      <w:pPr>
        <w:pStyle w:val="Body"/>
        <w:widowControl w:val="0"/>
        <w:spacing w:after="0" w:line="240" w:lineRule="auto"/>
        <w:rPr>
          <w:rFonts w:ascii="Public Sans" w:eastAsia="Helvetica" w:hAnsi="Public Sans" w:cs="Segoe UI"/>
          <w:sz w:val="20"/>
        </w:rPr>
      </w:pPr>
    </w:p>
    <w:p w14:paraId="42FD65B1" w14:textId="66E1AF3D" w:rsidR="00E50CEF" w:rsidRPr="005576E4" w:rsidRDefault="00E50CEF" w:rsidP="00E50CEF">
      <w:pPr>
        <w:pStyle w:val="Body"/>
        <w:widowControl w:val="0"/>
        <w:spacing w:after="0" w:line="240" w:lineRule="auto"/>
        <w:rPr>
          <w:rFonts w:ascii="Public Sans" w:eastAsia="Helvetica" w:hAnsi="Public Sans" w:cs="Segoe UI"/>
        </w:rPr>
      </w:pPr>
      <w:r w:rsidRPr="005576E4">
        <w:rPr>
          <w:rFonts w:ascii="Public Sans" w:eastAsia="Helvetica" w:hAnsi="Public Sans" w:cs="Segoe UI"/>
        </w:rPr>
        <w:t xml:space="preserve">Of the </w:t>
      </w:r>
      <w:r w:rsidR="004D5ACC">
        <w:rPr>
          <w:rFonts w:ascii="Public Sans" w:eastAsia="Helvetica" w:hAnsi="Public Sans" w:cs="Segoe UI"/>
        </w:rPr>
        <w:t>1,</w:t>
      </w:r>
      <w:r w:rsidR="00606561">
        <w:rPr>
          <w:rFonts w:ascii="Public Sans" w:eastAsia="Helvetica" w:hAnsi="Public Sans" w:cs="Segoe UI"/>
        </w:rPr>
        <w:t>339</w:t>
      </w:r>
      <w:r w:rsidRPr="005576E4">
        <w:rPr>
          <w:rFonts w:ascii="Public Sans" w:eastAsia="Helvetica" w:hAnsi="Public Sans" w:cs="Segoe UI"/>
        </w:rPr>
        <w:t xml:space="preserve"> reports received by the ADC </w:t>
      </w:r>
      <w:r w:rsidR="00F75B36">
        <w:rPr>
          <w:rFonts w:ascii="Public Sans" w:eastAsia="Helvetica" w:hAnsi="Public Sans" w:cs="Segoe UI"/>
        </w:rPr>
        <w:t>in</w:t>
      </w:r>
      <w:r w:rsidRPr="005576E4">
        <w:rPr>
          <w:rFonts w:ascii="Public Sans" w:eastAsia="Helvetica" w:hAnsi="Public Sans" w:cs="Segoe UI"/>
        </w:rPr>
        <w:t xml:space="preserve"> </w:t>
      </w:r>
      <w:r w:rsidR="00606561">
        <w:rPr>
          <w:rFonts w:ascii="Public Sans" w:eastAsia="Helvetica" w:hAnsi="Public Sans" w:cs="Segoe UI"/>
        </w:rPr>
        <w:t>July</w:t>
      </w:r>
      <w:r w:rsidRPr="005576E4">
        <w:rPr>
          <w:rFonts w:ascii="Public Sans" w:eastAsia="Helvetica" w:hAnsi="Public Sans" w:cs="Segoe UI"/>
        </w:rPr>
        <w:t xml:space="preserve"> </w:t>
      </w:r>
      <w:r w:rsidR="00F75B36">
        <w:rPr>
          <w:rFonts w:ascii="Public Sans" w:eastAsia="Helvetica" w:hAnsi="Public Sans" w:cs="Segoe UI"/>
        </w:rPr>
        <w:t xml:space="preserve">– </w:t>
      </w:r>
      <w:r w:rsidR="00606561">
        <w:rPr>
          <w:rFonts w:ascii="Public Sans" w:eastAsia="Helvetica" w:hAnsi="Public Sans" w:cs="Segoe UI"/>
        </w:rPr>
        <w:t>September</w:t>
      </w:r>
      <w:r w:rsidRPr="005576E4">
        <w:rPr>
          <w:rFonts w:ascii="Public Sans" w:eastAsia="Helvetica" w:hAnsi="Public Sans" w:cs="Segoe UI"/>
        </w:rPr>
        <w:t xml:space="preserve"> 202</w:t>
      </w:r>
      <w:r w:rsidR="004D5ACC">
        <w:rPr>
          <w:rFonts w:ascii="Public Sans" w:eastAsia="Helvetica" w:hAnsi="Public Sans" w:cs="Segoe UI"/>
        </w:rPr>
        <w:t>3</w:t>
      </w:r>
      <w:r w:rsidRPr="005576E4">
        <w:rPr>
          <w:rFonts w:ascii="Public Sans" w:eastAsia="Helvetica" w:hAnsi="Public Sans" w:cs="Segoe UI"/>
        </w:rPr>
        <w:t>:</w:t>
      </w:r>
    </w:p>
    <w:p w14:paraId="0E3301B5" w14:textId="718AF3A9" w:rsidR="00E50CEF" w:rsidRPr="005576E4" w:rsidRDefault="00606561" w:rsidP="00E50CEF">
      <w:pPr>
        <w:pStyle w:val="Body"/>
        <w:widowControl w:val="0"/>
        <w:numPr>
          <w:ilvl w:val="0"/>
          <w:numId w:val="1"/>
        </w:numPr>
        <w:spacing w:before="120" w:after="0" w:line="240" w:lineRule="auto"/>
        <w:rPr>
          <w:rFonts w:ascii="Public Sans" w:eastAsia="Helvetica" w:hAnsi="Public Sans" w:cs="Segoe UI"/>
        </w:rPr>
      </w:pPr>
      <w:r>
        <w:rPr>
          <w:rFonts w:ascii="Public Sans" w:eastAsia="Helvetica" w:hAnsi="Public Sans" w:cs="Segoe UI"/>
          <w:b/>
        </w:rPr>
        <w:t>1,025</w:t>
      </w:r>
      <w:r w:rsidR="00E50CEF" w:rsidRPr="005576E4">
        <w:rPr>
          <w:rFonts w:ascii="Public Sans" w:eastAsia="Helvetica" w:hAnsi="Public Sans" w:cs="Segoe UI"/>
          <w:b/>
        </w:rPr>
        <w:t xml:space="preserve"> reports (</w:t>
      </w:r>
      <w:r w:rsidR="0014378A">
        <w:rPr>
          <w:rFonts w:ascii="Public Sans" w:eastAsia="Helvetica" w:hAnsi="Public Sans" w:cs="Segoe UI"/>
          <w:b/>
        </w:rPr>
        <w:t>7</w:t>
      </w:r>
      <w:r>
        <w:rPr>
          <w:rFonts w:ascii="Public Sans" w:eastAsia="Helvetica" w:hAnsi="Public Sans" w:cs="Segoe UI"/>
          <w:b/>
        </w:rPr>
        <w:t>7</w:t>
      </w:r>
      <w:r w:rsidR="00E50CEF" w:rsidRPr="005576E4">
        <w:rPr>
          <w:rFonts w:ascii="Public Sans" w:eastAsia="Helvetica" w:hAnsi="Public Sans" w:cs="Segoe UI"/>
          <w:b/>
        </w:rPr>
        <w:t>%) involved older people</w:t>
      </w:r>
      <w:r w:rsidR="00E50CEF" w:rsidRPr="005576E4">
        <w:rPr>
          <w:rStyle w:val="FootnoteReference"/>
          <w:rFonts w:ascii="Public Sans" w:eastAsia="Helvetica" w:hAnsi="Public Sans" w:cs="Segoe UI"/>
        </w:rPr>
        <w:footnoteReference w:id="2"/>
      </w:r>
      <w:r w:rsidR="00E50CEF" w:rsidRPr="005576E4">
        <w:rPr>
          <w:rFonts w:ascii="Public Sans" w:eastAsia="Helvetica" w:hAnsi="Public Sans" w:cs="Segoe UI"/>
        </w:rPr>
        <w:t xml:space="preserve">, including </w:t>
      </w:r>
      <w:r>
        <w:rPr>
          <w:rFonts w:ascii="Public Sans" w:eastAsia="Helvetica" w:hAnsi="Public Sans" w:cs="Segoe UI"/>
        </w:rPr>
        <w:t>351</w:t>
      </w:r>
      <w:r w:rsidR="00E50CEF" w:rsidRPr="005576E4">
        <w:rPr>
          <w:rFonts w:ascii="Public Sans" w:eastAsia="Helvetica" w:hAnsi="Public Sans" w:cs="Segoe UI"/>
        </w:rPr>
        <w:t xml:space="preserve"> reports </w:t>
      </w:r>
      <w:r>
        <w:rPr>
          <w:rFonts w:ascii="Public Sans" w:eastAsia="Helvetica" w:hAnsi="Public Sans" w:cs="Segoe UI"/>
        </w:rPr>
        <w:t>about</w:t>
      </w:r>
      <w:r w:rsidR="00E50CEF" w:rsidRPr="005576E4">
        <w:rPr>
          <w:rFonts w:ascii="Public Sans" w:eastAsia="Helvetica" w:hAnsi="Public Sans" w:cs="Segoe UI"/>
        </w:rPr>
        <w:t xml:space="preserve"> older people with disability </w:t>
      </w:r>
    </w:p>
    <w:p w14:paraId="55D53E64" w14:textId="03EDA348" w:rsidR="00E50CEF" w:rsidRPr="005576E4" w:rsidRDefault="00606561" w:rsidP="00E50CEF">
      <w:pPr>
        <w:pStyle w:val="Body"/>
        <w:widowControl w:val="0"/>
        <w:numPr>
          <w:ilvl w:val="0"/>
          <w:numId w:val="1"/>
        </w:numPr>
        <w:spacing w:before="120" w:after="0" w:line="240" w:lineRule="auto"/>
        <w:ind w:left="714" w:hanging="357"/>
        <w:rPr>
          <w:rFonts w:ascii="Public Sans" w:eastAsia="Helvetica" w:hAnsi="Public Sans" w:cs="Segoe UI"/>
        </w:rPr>
      </w:pPr>
      <w:r>
        <w:rPr>
          <w:rFonts w:ascii="Public Sans" w:eastAsia="Helvetica" w:hAnsi="Public Sans" w:cs="Segoe UI"/>
          <w:b/>
        </w:rPr>
        <w:t>314</w:t>
      </w:r>
      <w:r w:rsidR="00E50CEF" w:rsidRPr="005576E4">
        <w:rPr>
          <w:rFonts w:ascii="Public Sans" w:eastAsia="Helvetica" w:hAnsi="Public Sans" w:cs="Segoe UI"/>
          <w:b/>
        </w:rPr>
        <w:t xml:space="preserve"> reports (</w:t>
      </w:r>
      <w:r w:rsidR="00FD7E5A">
        <w:rPr>
          <w:rFonts w:ascii="Public Sans" w:eastAsia="Helvetica" w:hAnsi="Public Sans" w:cs="Segoe UI"/>
          <w:b/>
        </w:rPr>
        <w:t>2</w:t>
      </w:r>
      <w:r>
        <w:rPr>
          <w:rFonts w:ascii="Public Sans" w:eastAsia="Helvetica" w:hAnsi="Public Sans" w:cs="Segoe UI"/>
          <w:b/>
        </w:rPr>
        <w:t>3</w:t>
      </w:r>
      <w:r w:rsidR="00E50CEF" w:rsidRPr="005576E4">
        <w:rPr>
          <w:rFonts w:ascii="Public Sans" w:eastAsia="Helvetica" w:hAnsi="Public Sans" w:cs="Segoe UI"/>
          <w:b/>
        </w:rPr>
        <w:t>%) involved adults with disability</w:t>
      </w:r>
      <w:r w:rsidR="00E50CEF" w:rsidRPr="005576E4">
        <w:rPr>
          <w:rStyle w:val="FootnoteReference"/>
          <w:rFonts w:ascii="Public Sans" w:eastAsia="Helvetica" w:hAnsi="Public Sans" w:cs="Segoe UI"/>
        </w:rPr>
        <w:footnoteReference w:id="3"/>
      </w:r>
      <w:r w:rsidR="00E50CEF" w:rsidRPr="005576E4">
        <w:rPr>
          <w:rFonts w:ascii="Public Sans" w:eastAsia="Helvetica" w:hAnsi="Public Sans" w:cs="Segoe UI"/>
        </w:rPr>
        <w:t xml:space="preserve"> who were not older people.</w:t>
      </w:r>
    </w:p>
    <w:p w14:paraId="70C760A9" w14:textId="77777777" w:rsidR="00E50CEF" w:rsidRPr="005576E4" w:rsidRDefault="00E50CEF" w:rsidP="00E50CEF">
      <w:pPr>
        <w:pStyle w:val="Body"/>
        <w:widowControl w:val="0"/>
        <w:spacing w:after="0" w:line="240" w:lineRule="auto"/>
        <w:rPr>
          <w:rFonts w:ascii="Public Sans" w:eastAsia="Helvetica" w:hAnsi="Public Sans" w:cs="Segoe UI"/>
          <w:sz w:val="20"/>
        </w:rPr>
      </w:pPr>
    </w:p>
    <w:p w14:paraId="2BD42789" w14:textId="26357D66" w:rsidR="00E50CEF" w:rsidRPr="005576E4" w:rsidRDefault="00E50CEF" w:rsidP="00E50CEF">
      <w:pPr>
        <w:spacing w:after="0" w:line="240" w:lineRule="auto"/>
        <w:rPr>
          <w:rFonts w:ascii="Public Sans" w:hAnsi="Public Sans" w:cs="Segoe UI"/>
          <w:b/>
        </w:rPr>
      </w:pPr>
      <w:r w:rsidRPr="00B74CCF">
        <w:rPr>
          <w:rFonts w:ascii="Public Sans" w:eastAsia="Arial Unicode MS" w:hAnsi="Public Sans" w:cs="Segoe UI"/>
          <w:b/>
          <w:sz w:val="18"/>
          <w:szCs w:val="24"/>
        </w:rPr>
        <w:t xml:space="preserve">Figure 3: All reports received by the ADC, by cohort, </w:t>
      </w:r>
      <w:r w:rsidR="00C12078">
        <w:rPr>
          <w:rFonts w:ascii="Public Sans" w:eastAsia="Arial Unicode MS" w:hAnsi="Public Sans" w:cs="Segoe UI"/>
          <w:b/>
          <w:sz w:val="18"/>
          <w:szCs w:val="24"/>
        </w:rPr>
        <w:t>J</w:t>
      </w:r>
      <w:r w:rsidR="00606561">
        <w:rPr>
          <w:rFonts w:ascii="Public Sans" w:eastAsia="Arial Unicode MS" w:hAnsi="Public Sans" w:cs="Segoe UI"/>
          <w:b/>
          <w:sz w:val="18"/>
          <w:szCs w:val="24"/>
        </w:rPr>
        <w:t>uly – September</w:t>
      </w:r>
      <w:r w:rsidRPr="00B74CCF">
        <w:rPr>
          <w:rFonts w:ascii="Public Sans" w:eastAsia="Arial Unicode MS" w:hAnsi="Public Sans" w:cs="Segoe UI"/>
          <w:b/>
          <w:sz w:val="18"/>
          <w:szCs w:val="24"/>
        </w:rPr>
        <w:t xml:space="preserve"> 202</w:t>
      </w:r>
      <w:r w:rsidR="00C12078">
        <w:rPr>
          <w:rFonts w:ascii="Public Sans" w:eastAsia="Arial Unicode MS" w:hAnsi="Public Sans" w:cs="Segoe UI"/>
          <w:b/>
          <w:sz w:val="18"/>
          <w:szCs w:val="24"/>
        </w:rPr>
        <w:t>3</w:t>
      </w:r>
    </w:p>
    <w:p w14:paraId="04FD7B3B" w14:textId="27D3624F" w:rsidR="00613AF2" w:rsidRPr="00613AF2" w:rsidRDefault="00606561" w:rsidP="00613AF2">
      <w:pPr>
        <w:spacing w:after="0"/>
      </w:pPr>
      <w:r>
        <w:rPr>
          <w:noProof/>
        </w:rPr>
        <w:drawing>
          <wp:inline distT="0" distB="0" distL="0" distR="0" wp14:anchorId="736F419E" wp14:editId="4E1FD892">
            <wp:extent cx="6048375" cy="2343150"/>
            <wp:effectExtent l="0" t="0" r="9525" b="0"/>
            <wp:docPr id="8" name="Chart 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B6D2C5A" w14:textId="77777777" w:rsidR="009431E0" w:rsidRDefault="009431E0" w:rsidP="00EC4EA0">
      <w:pPr>
        <w:pStyle w:val="Heading2"/>
        <w:spacing w:before="0"/>
        <w:rPr>
          <w:rFonts w:ascii="Public Sans" w:eastAsia="Helvetica" w:hAnsi="Public Sans"/>
          <w:b/>
          <w:color w:val="auto"/>
          <w:sz w:val="24"/>
        </w:rPr>
      </w:pPr>
    </w:p>
    <w:p w14:paraId="764B28B9" w14:textId="77777777" w:rsidR="0084215E" w:rsidRPr="0084215E" w:rsidRDefault="0084215E" w:rsidP="0084215E">
      <w:pPr>
        <w:spacing w:after="0" w:line="240" w:lineRule="auto"/>
      </w:pPr>
    </w:p>
    <w:p w14:paraId="3C662B9B" w14:textId="77777777" w:rsidR="00EC4EA0" w:rsidRPr="00B74CCF" w:rsidRDefault="00EC4EA0" w:rsidP="00EC4EA0">
      <w:pPr>
        <w:pStyle w:val="Heading2"/>
        <w:spacing w:before="0"/>
        <w:rPr>
          <w:rFonts w:ascii="Public Sans" w:eastAsia="Helvetica" w:hAnsi="Public Sans"/>
          <w:b/>
          <w:color w:val="auto"/>
        </w:rPr>
      </w:pPr>
      <w:r w:rsidRPr="00B74CCF">
        <w:rPr>
          <w:rFonts w:ascii="Public Sans" w:eastAsia="Helvetica" w:hAnsi="Public Sans"/>
          <w:b/>
          <w:color w:val="auto"/>
        </w:rPr>
        <w:lastRenderedPageBreak/>
        <w:t xml:space="preserve">2.2 </w:t>
      </w:r>
      <w:r w:rsidR="00631A3A" w:rsidRPr="00B74CCF">
        <w:rPr>
          <w:rFonts w:ascii="Public Sans" w:eastAsia="Helvetica" w:hAnsi="Public Sans"/>
          <w:b/>
          <w:color w:val="auto"/>
        </w:rPr>
        <w:tab/>
      </w:r>
      <w:r w:rsidRPr="00B74CCF">
        <w:rPr>
          <w:rFonts w:ascii="Public Sans" w:eastAsia="Helvetica" w:hAnsi="Public Sans"/>
          <w:b/>
          <w:color w:val="auto"/>
        </w:rPr>
        <w:t xml:space="preserve">Aboriginal and Torres Strait Islander </w:t>
      </w:r>
      <w:r w:rsidR="009D5312">
        <w:rPr>
          <w:rFonts w:ascii="Public Sans" w:eastAsia="Helvetica" w:hAnsi="Public Sans"/>
          <w:b/>
          <w:color w:val="auto"/>
        </w:rPr>
        <w:t>background</w:t>
      </w:r>
    </w:p>
    <w:p w14:paraId="36A3B073" w14:textId="638CBCBA" w:rsidR="00E958C0" w:rsidRPr="005576E4" w:rsidRDefault="00E958C0" w:rsidP="00973D87">
      <w:pPr>
        <w:spacing w:before="120" w:after="0" w:line="240" w:lineRule="auto"/>
        <w:rPr>
          <w:rFonts w:ascii="Public Sans" w:hAnsi="Public Sans"/>
        </w:rPr>
      </w:pPr>
      <w:r w:rsidRPr="005576E4">
        <w:rPr>
          <w:rFonts w:ascii="Public Sans" w:hAnsi="Public Sans"/>
        </w:rPr>
        <w:t xml:space="preserve">In </w:t>
      </w:r>
      <w:r w:rsidR="00C12078">
        <w:rPr>
          <w:rFonts w:ascii="Public Sans" w:hAnsi="Public Sans"/>
        </w:rPr>
        <w:t>3</w:t>
      </w:r>
      <w:r w:rsidRPr="005576E4">
        <w:rPr>
          <w:rFonts w:ascii="Public Sans" w:hAnsi="Public Sans"/>
        </w:rPr>
        <w:t xml:space="preserve">% of reports to the ADC in </w:t>
      </w:r>
      <w:r w:rsidR="00105BAC">
        <w:rPr>
          <w:rFonts w:ascii="Public Sans" w:hAnsi="Public Sans"/>
        </w:rPr>
        <w:t>July</w:t>
      </w:r>
      <w:r w:rsidR="00672B16">
        <w:rPr>
          <w:rFonts w:ascii="Public Sans" w:hAnsi="Public Sans"/>
        </w:rPr>
        <w:t xml:space="preserve"> </w:t>
      </w:r>
      <w:r w:rsidR="00973D87" w:rsidRPr="005576E4">
        <w:rPr>
          <w:rFonts w:ascii="Public Sans" w:hAnsi="Public Sans"/>
        </w:rPr>
        <w:t xml:space="preserve">– </w:t>
      </w:r>
      <w:r w:rsidR="00105BAC">
        <w:rPr>
          <w:rFonts w:ascii="Public Sans" w:hAnsi="Public Sans"/>
        </w:rPr>
        <w:t>September</w:t>
      </w:r>
      <w:r w:rsidR="00973D87" w:rsidRPr="005576E4">
        <w:rPr>
          <w:rFonts w:ascii="Public Sans" w:hAnsi="Public Sans"/>
        </w:rPr>
        <w:t xml:space="preserve"> 20</w:t>
      </w:r>
      <w:r w:rsidRPr="005576E4">
        <w:rPr>
          <w:rFonts w:ascii="Public Sans" w:hAnsi="Public Sans"/>
        </w:rPr>
        <w:t>2</w:t>
      </w:r>
      <w:r w:rsidR="00C12078">
        <w:rPr>
          <w:rFonts w:ascii="Public Sans" w:hAnsi="Public Sans"/>
        </w:rPr>
        <w:t>3</w:t>
      </w:r>
      <w:r w:rsidRPr="005576E4">
        <w:rPr>
          <w:rFonts w:ascii="Public Sans" w:hAnsi="Public Sans"/>
        </w:rPr>
        <w:t>, the adult with disability or older person was identified as Aboriginal</w:t>
      </w:r>
      <w:r w:rsidR="00C12078">
        <w:rPr>
          <w:rFonts w:ascii="Public Sans" w:hAnsi="Public Sans"/>
        </w:rPr>
        <w:t xml:space="preserve"> and/or Torres Strait Islander</w:t>
      </w:r>
      <w:r w:rsidRPr="005576E4">
        <w:rPr>
          <w:rFonts w:ascii="Public Sans" w:hAnsi="Public Sans"/>
        </w:rPr>
        <w:t xml:space="preserve">. </w:t>
      </w:r>
      <w:r w:rsidR="00973D87" w:rsidRPr="005576E4">
        <w:rPr>
          <w:rFonts w:ascii="Public Sans" w:hAnsi="Public Sans"/>
        </w:rPr>
        <w:t xml:space="preserve">This </w:t>
      </w:r>
      <w:r w:rsidR="00FF7AD5">
        <w:rPr>
          <w:rFonts w:ascii="Public Sans" w:hAnsi="Public Sans"/>
        </w:rPr>
        <w:t>wa</w:t>
      </w:r>
      <w:r w:rsidR="00973D87" w:rsidRPr="005576E4">
        <w:rPr>
          <w:rFonts w:ascii="Public Sans" w:hAnsi="Public Sans"/>
        </w:rPr>
        <w:t xml:space="preserve">s </w:t>
      </w:r>
      <w:r w:rsidR="00105BAC">
        <w:rPr>
          <w:rFonts w:ascii="Public Sans" w:hAnsi="Public Sans"/>
        </w:rPr>
        <w:t>consistent with 2022-23 (2.9%)</w:t>
      </w:r>
      <w:r w:rsidR="00973D87" w:rsidRPr="005576E4">
        <w:rPr>
          <w:rFonts w:ascii="Public Sans" w:hAnsi="Public Sans"/>
        </w:rPr>
        <w:t xml:space="preserve">. </w:t>
      </w:r>
    </w:p>
    <w:p w14:paraId="40B50F22" w14:textId="77777777" w:rsidR="00E958C0" w:rsidRPr="005576E4" w:rsidRDefault="00E958C0" w:rsidP="00E958C0">
      <w:pPr>
        <w:spacing w:after="0" w:line="240" w:lineRule="auto"/>
        <w:rPr>
          <w:rFonts w:ascii="Public Sans" w:hAnsi="Public Sans"/>
          <w:highlight w:val="yellow"/>
        </w:rPr>
      </w:pPr>
    </w:p>
    <w:p w14:paraId="7D125FA4" w14:textId="2D33BBB5" w:rsidR="00EC4EA0" w:rsidRPr="005576E4" w:rsidRDefault="00EC4EA0" w:rsidP="00EC4EA0">
      <w:pPr>
        <w:spacing w:after="0" w:line="240" w:lineRule="auto"/>
        <w:rPr>
          <w:rFonts w:ascii="Public Sans" w:hAnsi="Public Sans" w:cs="Segoe UI"/>
          <w:b/>
          <w:sz w:val="20"/>
        </w:rPr>
      </w:pPr>
      <w:r w:rsidRPr="005576E4">
        <w:rPr>
          <w:rFonts w:ascii="Public Sans" w:hAnsi="Public Sans" w:cs="Segoe UI"/>
          <w:b/>
          <w:sz w:val="20"/>
        </w:rPr>
        <w:t xml:space="preserve">Table 1: Aboriginal and Torres Strait Islander status of person the subject of a report to the ADC, by person status, </w:t>
      </w:r>
      <w:r w:rsidR="00105BAC">
        <w:rPr>
          <w:rFonts w:ascii="Public Sans" w:hAnsi="Public Sans" w:cs="Segoe UI"/>
          <w:b/>
          <w:sz w:val="20"/>
        </w:rPr>
        <w:t>July – September</w:t>
      </w:r>
      <w:r w:rsidRPr="005576E4">
        <w:rPr>
          <w:rFonts w:ascii="Public Sans" w:hAnsi="Public Sans" w:cs="Segoe UI"/>
          <w:b/>
          <w:sz w:val="20"/>
        </w:rPr>
        <w:t xml:space="preserve"> 202</w:t>
      </w:r>
      <w:r w:rsidR="00C12078">
        <w:rPr>
          <w:rFonts w:ascii="Public Sans" w:hAnsi="Public Sans" w:cs="Segoe UI"/>
          <w:b/>
          <w:sz w:val="20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276"/>
        <w:gridCol w:w="1276"/>
        <w:gridCol w:w="1275"/>
        <w:gridCol w:w="1276"/>
        <w:gridCol w:w="1276"/>
        <w:gridCol w:w="1185"/>
      </w:tblGrid>
      <w:tr w:rsidR="00E958C0" w:rsidRPr="005576E4" w14:paraId="2E2F3313" w14:textId="77777777" w:rsidTr="00E958C0">
        <w:tc>
          <w:tcPr>
            <w:tcW w:w="1838" w:type="dxa"/>
            <w:shd w:val="clear" w:color="auto" w:fill="A5CCDF"/>
          </w:tcPr>
          <w:p w14:paraId="44EC240B" w14:textId="77777777" w:rsidR="00E958C0" w:rsidRPr="005576E4" w:rsidRDefault="00E958C0" w:rsidP="00E958C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Public Sans" w:eastAsia="Helvetica" w:hAnsi="Public Sans" w:cs="Segoe UI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5CCDF"/>
          </w:tcPr>
          <w:p w14:paraId="322F9170" w14:textId="04F699E1" w:rsidR="00E958C0" w:rsidRPr="005576E4" w:rsidRDefault="00E958C0" w:rsidP="00C12078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Public Sans" w:eastAsia="Helvetica" w:hAnsi="Public Sans" w:cs="Segoe UI"/>
                <w:b/>
                <w:sz w:val="21"/>
                <w:szCs w:val="21"/>
              </w:rPr>
            </w:pPr>
            <w:r w:rsidRPr="005576E4">
              <w:rPr>
                <w:rFonts w:ascii="Public Sans" w:eastAsia="Helvetica" w:hAnsi="Public Sans" w:cs="Segoe UI"/>
                <w:b/>
                <w:sz w:val="21"/>
                <w:szCs w:val="21"/>
              </w:rPr>
              <w:t>Older people (n=</w:t>
            </w:r>
            <w:r w:rsidR="00105BAC">
              <w:rPr>
                <w:rFonts w:ascii="Public Sans" w:eastAsia="Helvetica" w:hAnsi="Public Sans" w:cs="Segoe UI"/>
                <w:b/>
                <w:sz w:val="21"/>
                <w:szCs w:val="21"/>
              </w:rPr>
              <w:t>1,025</w:t>
            </w:r>
            <w:r w:rsidRPr="005576E4">
              <w:rPr>
                <w:rFonts w:ascii="Public Sans" w:eastAsia="Helvetica" w:hAnsi="Public Sans" w:cs="Segoe UI"/>
                <w:b/>
                <w:sz w:val="21"/>
                <w:szCs w:val="21"/>
              </w:rPr>
              <w:t>)</w:t>
            </w:r>
          </w:p>
        </w:tc>
        <w:tc>
          <w:tcPr>
            <w:tcW w:w="1276" w:type="dxa"/>
            <w:shd w:val="clear" w:color="auto" w:fill="A5CCDF"/>
          </w:tcPr>
          <w:p w14:paraId="65EB4E8D" w14:textId="77777777" w:rsidR="00E958C0" w:rsidRPr="005576E4" w:rsidRDefault="00E958C0" w:rsidP="00E958C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Public Sans" w:eastAsia="Helvetica" w:hAnsi="Public Sans" w:cs="Segoe UI"/>
                <w:b/>
                <w:sz w:val="21"/>
                <w:szCs w:val="21"/>
              </w:rPr>
            </w:pPr>
            <w:r w:rsidRPr="005576E4">
              <w:rPr>
                <w:rFonts w:ascii="Public Sans" w:eastAsia="Helvetica" w:hAnsi="Public Sans" w:cs="Segoe UI"/>
                <w:b/>
                <w:sz w:val="21"/>
                <w:szCs w:val="21"/>
              </w:rPr>
              <w:t>% of reports about older people</w:t>
            </w:r>
          </w:p>
        </w:tc>
        <w:tc>
          <w:tcPr>
            <w:tcW w:w="1275" w:type="dxa"/>
            <w:shd w:val="clear" w:color="auto" w:fill="A5CCDF"/>
          </w:tcPr>
          <w:p w14:paraId="0F316166" w14:textId="6DCFAD57" w:rsidR="00E958C0" w:rsidRPr="005576E4" w:rsidRDefault="00E958C0" w:rsidP="00C12078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Public Sans" w:eastAsia="Helvetica" w:hAnsi="Public Sans" w:cs="Segoe UI"/>
                <w:b/>
                <w:sz w:val="21"/>
                <w:szCs w:val="21"/>
              </w:rPr>
            </w:pPr>
            <w:r w:rsidRPr="005576E4">
              <w:rPr>
                <w:rFonts w:ascii="Public Sans" w:eastAsia="Helvetica" w:hAnsi="Public Sans" w:cs="Segoe UI"/>
                <w:b/>
                <w:sz w:val="21"/>
                <w:szCs w:val="21"/>
              </w:rPr>
              <w:t>Adults with disability (n=</w:t>
            </w:r>
            <w:r w:rsidR="00105BAC">
              <w:rPr>
                <w:rFonts w:ascii="Public Sans" w:eastAsia="Helvetica" w:hAnsi="Public Sans" w:cs="Segoe UI"/>
                <w:b/>
                <w:sz w:val="21"/>
                <w:szCs w:val="21"/>
              </w:rPr>
              <w:t>314</w:t>
            </w:r>
            <w:r w:rsidRPr="005576E4">
              <w:rPr>
                <w:rFonts w:ascii="Public Sans" w:eastAsia="Helvetica" w:hAnsi="Public Sans" w:cs="Segoe UI"/>
                <w:b/>
                <w:sz w:val="21"/>
                <w:szCs w:val="21"/>
              </w:rPr>
              <w:t>)</w:t>
            </w:r>
          </w:p>
        </w:tc>
        <w:tc>
          <w:tcPr>
            <w:tcW w:w="1276" w:type="dxa"/>
            <w:shd w:val="clear" w:color="auto" w:fill="A5CCDF"/>
          </w:tcPr>
          <w:p w14:paraId="7472484A" w14:textId="77777777" w:rsidR="00E958C0" w:rsidRPr="005576E4" w:rsidRDefault="00E958C0" w:rsidP="00E958C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Public Sans" w:eastAsia="Helvetica" w:hAnsi="Public Sans" w:cs="Segoe UI"/>
                <w:b/>
                <w:sz w:val="21"/>
                <w:szCs w:val="21"/>
              </w:rPr>
            </w:pPr>
            <w:r w:rsidRPr="005576E4">
              <w:rPr>
                <w:rFonts w:ascii="Public Sans" w:eastAsia="Helvetica" w:hAnsi="Public Sans" w:cs="Segoe UI"/>
                <w:b/>
                <w:sz w:val="21"/>
                <w:szCs w:val="21"/>
              </w:rPr>
              <w:t>% of reports about adults with disability</w:t>
            </w:r>
          </w:p>
        </w:tc>
        <w:tc>
          <w:tcPr>
            <w:tcW w:w="1276" w:type="dxa"/>
            <w:shd w:val="clear" w:color="auto" w:fill="A5CCDF"/>
          </w:tcPr>
          <w:p w14:paraId="5F4C2E99" w14:textId="720C0A37" w:rsidR="00E958C0" w:rsidRPr="005576E4" w:rsidRDefault="00E958C0" w:rsidP="00C12078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Public Sans" w:eastAsia="Helvetica" w:hAnsi="Public Sans" w:cs="Segoe UI"/>
                <w:b/>
                <w:sz w:val="21"/>
                <w:szCs w:val="21"/>
              </w:rPr>
            </w:pPr>
            <w:r w:rsidRPr="005576E4">
              <w:rPr>
                <w:rFonts w:ascii="Public Sans" w:eastAsia="Helvetica" w:hAnsi="Public Sans" w:cs="Segoe UI"/>
                <w:b/>
                <w:sz w:val="21"/>
                <w:szCs w:val="21"/>
              </w:rPr>
              <w:t>All reports (n=</w:t>
            </w:r>
            <w:r w:rsidR="00C12078">
              <w:rPr>
                <w:rFonts w:ascii="Public Sans" w:eastAsia="Helvetica" w:hAnsi="Public Sans" w:cs="Segoe UI"/>
                <w:b/>
                <w:sz w:val="21"/>
                <w:szCs w:val="21"/>
              </w:rPr>
              <w:t>1,</w:t>
            </w:r>
            <w:r w:rsidR="00105BAC">
              <w:rPr>
                <w:rFonts w:ascii="Public Sans" w:eastAsia="Helvetica" w:hAnsi="Public Sans" w:cs="Segoe UI"/>
                <w:b/>
                <w:sz w:val="21"/>
                <w:szCs w:val="21"/>
              </w:rPr>
              <w:t>339</w:t>
            </w:r>
            <w:r w:rsidRPr="005576E4">
              <w:rPr>
                <w:rFonts w:ascii="Public Sans" w:eastAsia="Helvetica" w:hAnsi="Public Sans" w:cs="Segoe UI"/>
                <w:b/>
                <w:sz w:val="21"/>
                <w:szCs w:val="21"/>
              </w:rPr>
              <w:t>)</w:t>
            </w:r>
          </w:p>
        </w:tc>
        <w:tc>
          <w:tcPr>
            <w:tcW w:w="1185" w:type="dxa"/>
            <w:shd w:val="clear" w:color="auto" w:fill="A5CCDF"/>
          </w:tcPr>
          <w:p w14:paraId="08A49D32" w14:textId="77777777" w:rsidR="00E958C0" w:rsidRPr="005576E4" w:rsidRDefault="00E958C0" w:rsidP="00E958C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Public Sans" w:eastAsia="Helvetica" w:hAnsi="Public Sans" w:cs="Segoe UI"/>
                <w:b/>
                <w:sz w:val="21"/>
                <w:szCs w:val="21"/>
              </w:rPr>
            </w:pPr>
            <w:r w:rsidRPr="005576E4">
              <w:rPr>
                <w:rFonts w:ascii="Public Sans" w:eastAsia="Helvetica" w:hAnsi="Public Sans" w:cs="Segoe UI"/>
                <w:b/>
                <w:sz w:val="21"/>
                <w:szCs w:val="21"/>
              </w:rPr>
              <w:t>% of all reports</w:t>
            </w:r>
          </w:p>
        </w:tc>
      </w:tr>
      <w:tr w:rsidR="00E958C0" w:rsidRPr="005576E4" w14:paraId="75965BFB" w14:textId="77777777" w:rsidTr="00E958C0">
        <w:tc>
          <w:tcPr>
            <w:tcW w:w="1838" w:type="dxa"/>
          </w:tcPr>
          <w:p w14:paraId="63C7244F" w14:textId="77777777" w:rsidR="00E958C0" w:rsidRPr="005576E4" w:rsidRDefault="00E958C0" w:rsidP="00E958C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Public Sans" w:eastAsia="Helvetica" w:hAnsi="Public Sans" w:cs="Segoe UI"/>
                <w:sz w:val="21"/>
                <w:szCs w:val="21"/>
              </w:rPr>
            </w:pPr>
            <w:r w:rsidRPr="005576E4">
              <w:rPr>
                <w:rFonts w:ascii="Public Sans" w:eastAsia="Helvetica" w:hAnsi="Public Sans" w:cs="Segoe UI"/>
                <w:sz w:val="21"/>
                <w:szCs w:val="21"/>
              </w:rPr>
              <w:t>Person identified as Aboriginal and/or Torres Strait Islander</w:t>
            </w:r>
          </w:p>
        </w:tc>
        <w:tc>
          <w:tcPr>
            <w:tcW w:w="1276" w:type="dxa"/>
          </w:tcPr>
          <w:p w14:paraId="69C8E4AE" w14:textId="237FB812" w:rsidR="00E958C0" w:rsidRPr="005576E4" w:rsidRDefault="00105BAC" w:rsidP="0017219D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32</w:t>
            </w:r>
          </w:p>
        </w:tc>
        <w:tc>
          <w:tcPr>
            <w:tcW w:w="1276" w:type="dxa"/>
          </w:tcPr>
          <w:p w14:paraId="5AF9DC53" w14:textId="305552A9" w:rsidR="00E958C0" w:rsidRPr="005576E4" w:rsidRDefault="00105BAC" w:rsidP="00144CC1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3</w:t>
            </w:r>
            <w:r w:rsidR="00C12078">
              <w:rPr>
                <w:rFonts w:ascii="Public Sans" w:eastAsia="Helvetica" w:hAnsi="Public Sans" w:cs="Segoe UI"/>
                <w:sz w:val="21"/>
                <w:szCs w:val="21"/>
              </w:rPr>
              <w:t>.1</w:t>
            </w:r>
          </w:p>
        </w:tc>
        <w:tc>
          <w:tcPr>
            <w:tcW w:w="1275" w:type="dxa"/>
          </w:tcPr>
          <w:p w14:paraId="3E863252" w14:textId="348C4D14" w:rsidR="00E958C0" w:rsidRPr="005576E4" w:rsidRDefault="00105BAC" w:rsidP="00E50CEF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8</w:t>
            </w:r>
          </w:p>
        </w:tc>
        <w:tc>
          <w:tcPr>
            <w:tcW w:w="1276" w:type="dxa"/>
          </w:tcPr>
          <w:p w14:paraId="3D454948" w14:textId="21083A1D" w:rsidR="00E958C0" w:rsidRPr="005576E4" w:rsidRDefault="00105BAC" w:rsidP="00FF7AD5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2.5</w:t>
            </w:r>
          </w:p>
        </w:tc>
        <w:tc>
          <w:tcPr>
            <w:tcW w:w="1276" w:type="dxa"/>
          </w:tcPr>
          <w:p w14:paraId="261932AA" w14:textId="4FF21170" w:rsidR="00E958C0" w:rsidRPr="005576E4" w:rsidRDefault="00105BAC" w:rsidP="00E958C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Public Sans" w:eastAsia="Helvetica" w:hAnsi="Public Sans" w:cs="Segoe UI"/>
                <w:b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b/>
                <w:sz w:val="21"/>
                <w:szCs w:val="21"/>
              </w:rPr>
              <w:t>40</w:t>
            </w:r>
          </w:p>
        </w:tc>
        <w:tc>
          <w:tcPr>
            <w:tcW w:w="1185" w:type="dxa"/>
          </w:tcPr>
          <w:p w14:paraId="2FB95FA0" w14:textId="77777777" w:rsidR="00E958C0" w:rsidRPr="005576E4" w:rsidRDefault="00C12078" w:rsidP="00FF7AD5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Public Sans" w:eastAsia="Helvetica" w:hAnsi="Public Sans" w:cs="Segoe UI"/>
                <w:b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b/>
                <w:sz w:val="21"/>
                <w:szCs w:val="21"/>
              </w:rPr>
              <w:t>3</w:t>
            </w:r>
          </w:p>
        </w:tc>
      </w:tr>
    </w:tbl>
    <w:p w14:paraId="2453AABD" w14:textId="77777777" w:rsidR="00613AF2" w:rsidRDefault="00613AF2" w:rsidP="00613AF2">
      <w:pPr>
        <w:spacing w:after="0" w:line="240" w:lineRule="auto"/>
        <w:rPr>
          <w:rFonts w:ascii="Public Sans" w:hAnsi="Public Sans" w:cs="Segoe UI"/>
          <w:b/>
        </w:rPr>
      </w:pPr>
    </w:p>
    <w:p w14:paraId="38C9E68F" w14:textId="77777777" w:rsidR="009905B5" w:rsidRDefault="009905B5" w:rsidP="00613AF2">
      <w:pPr>
        <w:spacing w:after="0" w:line="240" w:lineRule="auto"/>
        <w:rPr>
          <w:rFonts w:ascii="Public Sans" w:hAnsi="Public Sans" w:cs="Segoe UI"/>
          <w:b/>
        </w:rPr>
      </w:pPr>
    </w:p>
    <w:p w14:paraId="349EC3E2" w14:textId="77777777" w:rsidR="001609A4" w:rsidRPr="005576E4" w:rsidRDefault="001609A4" w:rsidP="00613AF2">
      <w:pPr>
        <w:spacing w:after="0" w:line="240" w:lineRule="auto"/>
        <w:rPr>
          <w:rFonts w:ascii="Public Sans" w:hAnsi="Public Sans" w:cs="Segoe UI"/>
          <w:b/>
        </w:rPr>
      </w:pPr>
    </w:p>
    <w:p w14:paraId="49CD76F7" w14:textId="77777777" w:rsidR="00EC4EA0" w:rsidRPr="00801D7B" w:rsidRDefault="00EC4EA0" w:rsidP="00EC4EA0">
      <w:pPr>
        <w:pStyle w:val="Heading2"/>
        <w:spacing w:before="0"/>
        <w:rPr>
          <w:rFonts w:ascii="Public Sans" w:eastAsia="Helvetica" w:hAnsi="Public Sans"/>
          <w:b/>
          <w:color w:val="auto"/>
        </w:rPr>
      </w:pPr>
      <w:r w:rsidRPr="00801D7B">
        <w:rPr>
          <w:rFonts w:ascii="Public Sans" w:eastAsia="Helvetica" w:hAnsi="Public Sans"/>
          <w:b/>
          <w:color w:val="auto"/>
        </w:rPr>
        <w:t xml:space="preserve">2.3 </w:t>
      </w:r>
      <w:r w:rsidR="00631A3A" w:rsidRPr="00801D7B">
        <w:rPr>
          <w:rFonts w:ascii="Public Sans" w:eastAsia="Helvetica" w:hAnsi="Public Sans"/>
          <w:b/>
          <w:color w:val="auto"/>
        </w:rPr>
        <w:tab/>
      </w:r>
      <w:r w:rsidRPr="00801D7B">
        <w:rPr>
          <w:rFonts w:ascii="Public Sans" w:eastAsia="Helvetica" w:hAnsi="Public Sans"/>
          <w:b/>
          <w:color w:val="auto"/>
        </w:rPr>
        <w:t xml:space="preserve">Culturally and linguistically diverse background </w:t>
      </w:r>
    </w:p>
    <w:p w14:paraId="6A59AE9B" w14:textId="7BC16206" w:rsidR="00214713" w:rsidRDefault="00E958C0" w:rsidP="00967BA0">
      <w:pPr>
        <w:spacing w:before="120" w:after="0" w:line="240" w:lineRule="auto"/>
        <w:rPr>
          <w:rFonts w:ascii="Public Sans" w:hAnsi="Public Sans"/>
        </w:rPr>
      </w:pPr>
      <w:r w:rsidRPr="005576E4">
        <w:rPr>
          <w:rFonts w:ascii="Public Sans" w:hAnsi="Public Sans"/>
        </w:rPr>
        <w:t xml:space="preserve">In </w:t>
      </w:r>
      <w:r w:rsidR="00127E53">
        <w:rPr>
          <w:rFonts w:ascii="Public Sans" w:hAnsi="Public Sans"/>
        </w:rPr>
        <w:t>7.8</w:t>
      </w:r>
      <w:r w:rsidRPr="005576E4">
        <w:rPr>
          <w:rFonts w:ascii="Public Sans" w:hAnsi="Public Sans"/>
        </w:rPr>
        <w:t xml:space="preserve">% of reports to the ADC in </w:t>
      </w:r>
      <w:r w:rsidR="004D0A0D">
        <w:rPr>
          <w:rFonts w:ascii="Public Sans" w:hAnsi="Public Sans"/>
        </w:rPr>
        <w:t>July</w:t>
      </w:r>
      <w:r w:rsidR="00007D2B">
        <w:rPr>
          <w:rFonts w:ascii="Public Sans" w:hAnsi="Public Sans"/>
        </w:rPr>
        <w:t xml:space="preserve"> </w:t>
      </w:r>
      <w:r w:rsidR="00973D87" w:rsidRPr="005576E4">
        <w:rPr>
          <w:rFonts w:ascii="Public Sans" w:hAnsi="Public Sans"/>
        </w:rPr>
        <w:t>–</w:t>
      </w:r>
      <w:r w:rsidR="002525F1">
        <w:rPr>
          <w:rFonts w:ascii="Public Sans" w:hAnsi="Public Sans"/>
        </w:rPr>
        <w:t xml:space="preserve"> </w:t>
      </w:r>
      <w:r w:rsidR="00127E53">
        <w:rPr>
          <w:rFonts w:ascii="Public Sans" w:hAnsi="Public Sans"/>
        </w:rPr>
        <w:t>September</w:t>
      </w:r>
      <w:r w:rsidR="00973D87" w:rsidRPr="005576E4">
        <w:rPr>
          <w:rFonts w:ascii="Public Sans" w:hAnsi="Public Sans"/>
        </w:rPr>
        <w:t xml:space="preserve"> 20</w:t>
      </w:r>
      <w:r w:rsidRPr="005576E4">
        <w:rPr>
          <w:rFonts w:ascii="Public Sans" w:hAnsi="Public Sans"/>
        </w:rPr>
        <w:t>2</w:t>
      </w:r>
      <w:r w:rsidR="002525F1">
        <w:rPr>
          <w:rFonts w:ascii="Public Sans" w:hAnsi="Public Sans"/>
        </w:rPr>
        <w:t>3</w:t>
      </w:r>
      <w:r w:rsidRPr="005576E4">
        <w:rPr>
          <w:rFonts w:ascii="Public Sans" w:hAnsi="Public Sans"/>
        </w:rPr>
        <w:t xml:space="preserve">, the adult with disability or older person was identified as having a culturally and linguistically diverse (CALD) background. This </w:t>
      </w:r>
      <w:r w:rsidR="00127E53">
        <w:rPr>
          <w:rFonts w:ascii="Public Sans" w:hAnsi="Public Sans"/>
        </w:rPr>
        <w:t>was slightly</w:t>
      </w:r>
      <w:r w:rsidR="00973D87" w:rsidRPr="005576E4">
        <w:rPr>
          <w:rFonts w:ascii="Public Sans" w:hAnsi="Public Sans"/>
        </w:rPr>
        <w:t xml:space="preserve"> </w:t>
      </w:r>
      <w:r w:rsidR="002525F1">
        <w:rPr>
          <w:rFonts w:ascii="Public Sans" w:hAnsi="Public Sans"/>
        </w:rPr>
        <w:t>higher</w:t>
      </w:r>
      <w:r w:rsidR="00973D87" w:rsidRPr="005576E4">
        <w:rPr>
          <w:rFonts w:ascii="Public Sans" w:hAnsi="Public Sans"/>
        </w:rPr>
        <w:t xml:space="preserve"> than </w:t>
      </w:r>
      <w:r w:rsidR="00127E53">
        <w:rPr>
          <w:rFonts w:ascii="Public Sans" w:hAnsi="Public Sans"/>
        </w:rPr>
        <w:t>2022</w:t>
      </w:r>
      <w:r w:rsidR="004D0A0D">
        <w:rPr>
          <w:rFonts w:ascii="Public Sans" w:hAnsi="Public Sans"/>
        </w:rPr>
        <w:t>-</w:t>
      </w:r>
      <w:r w:rsidR="00127E53">
        <w:rPr>
          <w:rFonts w:ascii="Public Sans" w:hAnsi="Public Sans"/>
        </w:rPr>
        <w:t>23</w:t>
      </w:r>
      <w:r w:rsidR="00B124FE">
        <w:rPr>
          <w:rFonts w:ascii="Public Sans" w:hAnsi="Public Sans"/>
        </w:rPr>
        <w:t xml:space="preserve"> (</w:t>
      </w:r>
      <w:r w:rsidR="00127E53">
        <w:rPr>
          <w:rFonts w:ascii="Public Sans" w:hAnsi="Public Sans"/>
        </w:rPr>
        <w:t>7.2</w:t>
      </w:r>
      <w:r w:rsidR="00B124FE">
        <w:rPr>
          <w:rFonts w:ascii="Public Sans" w:hAnsi="Public Sans"/>
        </w:rPr>
        <w:t>%)</w:t>
      </w:r>
      <w:r w:rsidRPr="005576E4">
        <w:rPr>
          <w:rFonts w:ascii="Public Sans" w:hAnsi="Public Sans"/>
        </w:rPr>
        <w:t>.</w:t>
      </w:r>
      <w:r w:rsidR="002525F1">
        <w:rPr>
          <w:rFonts w:ascii="Public Sans" w:hAnsi="Public Sans"/>
        </w:rPr>
        <w:t xml:space="preserve"> </w:t>
      </w:r>
    </w:p>
    <w:p w14:paraId="0D8C5816" w14:textId="77777777" w:rsidR="00613AF2" w:rsidRPr="005576E4" w:rsidRDefault="00613AF2" w:rsidP="00CD4548">
      <w:pPr>
        <w:spacing w:after="0" w:line="240" w:lineRule="auto"/>
        <w:rPr>
          <w:rFonts w:ascii="Public Sans" w:hAnsi="Public Sans"/>
        </w:rPr>
      </w:pPr>
    </w:p>
    <w:p w14:paraId="5C1C0D6C" w14:textId="1B87A6AB" w:rsidR="00E958C0" w:rsidRPr="00F75B36" w:rsidRDefault="00E958C0" w:rsidP="00E958C0">
      <w:pPr>
        <w:spacing w:after="0" w:line="240" w:lineRule="auto"/>
        <w:rPr>
          <w:rFonts w:ascii="Public Sans" w:hAnsi="Public Sans" w:cs="Segoe UI"/>
          <w:b/>
          <w:sz w:val="18"/>
        </w:rPr>
      </w:pPr>
      <w:r w:rsidRPr="00F75B36">
        <w:rPr>
          <w:rFonts w:ascii="Public Sans" w:hAnsi="Public Sans" w:cs="Segoe UI"/>
          <w:b/>
          <w:sz w:val="18"/>
        </w:rPr>
        <w:t xml:space="preserve">Table 2: CALD status of person the subject of a report to the ADC, </w:t>
      </w:r>
      <w:r w:rsidR="00A73F02" w:rsidRPr="00F75B36">
        <w:rPr>
          <w:rFonts w:ascii="Public Sans" w:hAnsi="Public Sans" w:cs="Segoe UI"/>
          <w:b/>
          <w:sz w:val="18"/>
        </w:rPr>
        <w:t>by person status,</w:t>
      </w:r>
      <w:r w:rsidR="00990C36">
        <w:rPr>
          <w:rFonts w:ascii="Public Sans" w:hAnsi="Public Sans" w:cs="Segoe UI"/>
          <w:b/>
          <w:sz w:val="18"/>
        </w:rPr>
        <w:t xml:space="preserve"> </w:t>
      </w:r>
      <w:r w:rsidR="004D0A0D">
        <w:rPr>
          <w:rFonts w:ascii="Public Sans" w:hAnsi="Public Sans" w:cs="Segoe UI"/>
          <w:b/>
          <w:sz w:val="18"/>
        </w:rPr>
        <w:t>July</w:t>
      </w:r>
      <w:r w:rsidR="00990C36">
        <w:rPr>
          <w:rFonts w:ascii="Public Sans" w:hAnsi="Public Sans" w:cs="Segoe UI"/>
          <w:b/>
          <w:sz w:val="18"/>
        </w:rPr>
        <w:t>-</w:t>
      </w:r>
      <w:r w:rsidR="004D0A0D">
        <w:rPr>
          <w:rFonts w:ascii="Public Sans" w:hAnsi="Public Sans" w:cs="Segoe UI"/>
          <w:b/>
          <w:sz w:val="18"/>
        </w:rPr>
        <w:t>Sept</w:t>
      </w:r>
      <w:r w:rsidR="00A73F02" w:rsidRPr="00F75B36">
        <w:rPr>
          <w:rFonts w:ascii="Public Sans" w:hAnsi="Public Sans" w:cs="Segoe UI"/>
          <w:b/>
          <w:sz w:val="18"/>
        </w:rPr>
        <w:t xml:space="preserve"> 20</w:t>
      </w:r>
      <w:r w:rsidRPr="00F75B36">
        <w:rPr>
          <w:rFonts w:ascii="Public Sans" w:eastAsia="Helvetica" w:hAnsi="Public Sans" w:cs="Calibri"/>
          <w:b/>
          <w:sz w:val="18"/>
        </w:rPr>
        <w:t>2</w:t>
      </w:r>
      <w:r w:rsidR="00967BA0">
        <w:rPr>
          <w:rFonts w:ascii="Public Sans" w:eastAsia="Helvetica" w:hAnsi="Public Sans" w:cs="Calibri"/>
          <w:b/>
          <w:sz w:val="18"/>
        </w:rPr>
        <w:t>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24"/>
        <w:gridCol w:w="1485"/>
        <w:gridCol w:w="1313"/>
        <w:gridCol w:w="1313"/>
        <w:gridCol w:w="1313"/>
        <w:gridCol w:w="1313"/>
        <w:gridCol w:w="1167"/>
      </w:tblGrid>
      <w:tr w:rsidR="00E958C0" w:rsidRPr="005576E4" w14:paraId="09D4B47A" w14:textId="77777777" w:rsidTr="009431E0">
        <w:tc>
          <w:tcPr>
            <w:tcW w:w="895" w:type="pct"/>
            <w:shd w:val="clear" w:color="auto" w:fill="A5CCDF"/>
          </w:tcPr>
          <w:p w14:paraId="3B3BC260" w14:textId="77777777" w:rsidR="00E958C0" w:rsidRPr="005576E4" w:rsidRDefault="00E958C0" w:rsidP="00E958C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Public Sans" w:eastAsia="Helvetica" w:hAnsi="Public Sans" w:cs="Segoe UI"/>
                <w:sz w:val="21"/>
                <w:szCs w:val="21"/>
              </w:rPr>
            </w:pPr>
          </w:p>
          <w:p w14:paraId="7E9CA40E" w14:textId="77777777" w:rsidR="00E958C0" w:rsidRPr="005576E4" w:rsidRDefault="00E958C0" w:rsidP="00E958C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Public Sans" w:eastAsia="Helvetica" w:hAnsi="Public Sans" w:cs="Segoe UI"/>
                <w:sz w:val="21"/>
                <w:szCs w:val="21"/>
              </w:rPr>
            </w:pPr>
          </w:p>
        </w:tc>
        <w:tc>
          <w:tcPr>
            <w:tcW w:w="771" w:type="pct"/>
            <w:shd w:val="clear" w:color="auto" w:fill="A5CCDF"/>
          </w:tcPr>
          <w:p w14:paraId="5A4E9C5A" w14:textId="41CAB59E" w:rsidR="00E958C0" w:rsidRPr="005576E4" w:rsidRDefault="00E958C0" w:rsidP="002525F1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Public Sans" w:eastAsia="Helvetica" w:hAnsi="Public Sans" w:cs="Segoe UI"/>
                <w:b/>
                <w:sz w:val="21"/>
                <w:szCs w:val="21"/>
              </w:rPr>
            </w:pPr>
            <w:r w:rsidRPr="005576E4">
              <w:rPr>
                <w:rFonts w:ascii="Public Sans" w:eastAsia="Helvetica" w:hAnsi="Public Sans" w:cs="Segoe UI"/>
                <w:b/>
                <w:sz w:val="21"/>
                <w:szCs w:val="21"/>
              </w:rPr>
              <w:t>Older people (n=</w:t>
            </w:r>
            <w:r w:rsidR="004D0A0D">
              <w:rPr>
                <w:rFonts w:ascii="Public Sans" w:eastAsia="Helvetica" w:hAnsi="Public Sans" w:cs="Segoe UI"/>
                <w:b/>
                <w:sz w:val="21"/>
                <w:szCs w:val="21"/>
              </w:rPr>
              <w:t>1,025</w:t>
            </w:r>
            <w:r w:rsidRPr="005576E4">
              <w:rPr>
                <w:rFonts w:ascii="Public Sans" w:eastAsia="Helvetica" w:hAnsi="Public Sans" w:cs="Segoe UI"/>
                <w:b/>
                <w:sz w:val="21"/>
                <w:szCs w:val="21"/>
              </w:rPr>
              <w:t>)</w:t>
            </w:r>
          </w:p>
        </w:tc>
        <w:tc>
          <w:tcPr>
            <w:tcW w:w="682" w:type="pct"/>
            <w:shd w:val="clear" w:color="auto" w:fill="A5CCDF"/>
          </w:tcPr>
          <w:p w14:paraId="14D11EDC" w14:textId="77777777" w:rsidR="00E958C0" w:rsidRPr="005576E4" w:rsidRDefault="00E958C0" w:rsidP="00E958C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Public Sans" w:eastAsia="Helvetica" w:hAnsi="Public Sans" w:cs="Segoe UI"/>
                <w:b/>
                <w:sz w:val="21"/>
                <w:szCs w:val="21"/>
              </w:rPr>
            </w:pPr>
            <w:r w:rsidRPr="005576E4">
              <w:rPr>
                <w:rFonts w:ascii="Public Sans" w:eastAsia="Helvetica" w:hAnsi="Public Sans" w:cs="Segoe UI"/>
                <w:b/>
                <w:sz w:val="21"/>
                <w:szCs w:val="21"/>
              </w:rPr>
              <w:t>% of reports about older people</w:t>
            </w:r>
          </w:p>
        </w:tc>
        <w:tc>
          <w:tcPr>
            <w:tcW w:w="682" w:type="pct"/>
            <w:shd w:val="clear" w:color="auto" w:fill="A5CCDF"/>
          </w:tcPr>
          <w:p w14:paraId="3599A28F" w14:textId="64028445" w:rsidR="00E958C0" w:rsidRPr="005576E4" w:rsidRDefault="00E958C0" w:rsidP="002525F1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Public Sans" w:eastAsia="Helvetica" w:hAnsi="Public Sans" w:cs="Segoe UI"/>
                <w:b/>
                <w:sz w:val="21"/>
                <w:szCs w:val="21"/>
              </w:rPr>
            </w:pPr>
            <w:r w:rsidRPr="005576E4">
              <w:rPr>
                <w:rFonts w:ascii="Public Sans" w:eastAsia="Helvetica" w:hAnsi="Public Sans" w:cs="Segoe UI"/>
                <w:b/>
                <w:sz w:val="21"/>
                <w:szCs w:val="21"/>
              </w:rPr>
              <w:t>Adults with disability (n=</w:t>
            </w:r>
            <w:r w:rsidR="004D0A0D">
              <w:rPr>
                <w:rFonts w:ascii="Public Sans" w:eastAsia="Helvetica" w:hAnsi="Public Sans" w:cs="Segoe UI"/>
                <w:b/>
                <w:sz w:val="21"/>
                <w:szCs w:val="21"/>
              </w:rPr>
              <w:t>314</w:t>
            </w:r>
            <w:r w:rsidRPr="005576E4">
              <w:rPr>
                <w:rFonts w:ascii="Public Sans" w:eastAsia="Helvetica" w:hAnsi="Public Sans" w:cs="Segoe UI"/>
                <w:b/>
                <w:sz w:val="21"/>
                <w:szCs w:val="21"/>
              </w:rPr>
              <w:t>)</w:t>
            </w:r>
          </w:p>
        </w:tc>
        <w:tc>
          <w:tcPr>
            <w:tcW w:w="682" w:type="pct"/>
            <w:shd w:val="clear" w:color="auto" w:fill="A5CCDF"/>
          </w:tcPr>
          <w:p w14:paraId="61FE0A1C" w14:textId="77777777" w:rsidR="00E958C0" w:rsidRPr="005576E4" w:rsidRDefault="00E958C0" w:rsidP="00E958C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Public Sans" w:eastAsia="Helvetica" w:hAnsi="Public Sans" w:cs="Segoe UI"/>
                <w:b/>
                <w:sz w:val="21"/>
                <w:szCs w:val="21"/>
              </w:rPr>
            </w:pPr>
            <w:r w:rsidRPr="005576E4">
              <w:rPr>
                <w:rFonts w:ascii="Public Sans" w:eastAsia="Helvetica" w:hAnsi="Public Sans" w:cs="Segoe UI"/>
                <w:b/>
                <w:sz w:val="21"/>
                <w:szCs w:val="21"/>
              </w:rPr>
              <w:t>% of reports about adults with disability</w:t>
            </w:r>
          </w:p>
        </w:tc>
        <w:tc>
          <w:tcPr>
            <w:tcW w:w="682" w:type="pct"/>
            <w:shd w:val="clear" w:color="auto" w:fill="A5CCDF"/>
          </w:tcPr>
          <w:p w14:paraId="69D6BCEB" w14:textId="28D5566A" w:rsidR="00E958C0" w:rsidRPr="005576E4" w:rsidRDefault="00E958C0" w:rsidP="002525F1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Public Sans" w:eastAsia="Helvetica" w:hAnsi="Public Sans" w:cs="Segoe UI"/>
                <w:b/>
                <w:sz w:val="21"/>
                <w:szCs w:val="21"/>
              </w:rPr>
            </w:pPr>
            <w:r w:rsidRPr="005576E4">
              <w:rPr>
                <w:rFonts w:ascii="Public Sans" w:eastAsia="Helvetica" w:hAnsi="Public Sans" w:cs="Segoe UI"/>
                <w:b/>
                <w:sz w:val="21"/>
                <w:szCs w:val="21"/>
              </w:rPr>
              <w:t>All reports (n=</w:t>
            </w:r>
            <w:r w:rsidR="002525F1">
              <w:rPr>
                <w:rFonts w:ascii="Public Sans" w:eastAsia="Helvetica" w:hAnsi="Public Sans" w:cs="Segoe UI"/>
                <w:b/>
                <w:sz w:val="21"/>
                <w:szCs w:val="21"/>
              </w:rPr>
              <w:t>1,</w:t>
            </w:r>
            <w:r w:rsidR="004D0A0D">
              <w:rPr>
                <w:rFonts w:ascii="Public Sans" w:eastAsia="Helvetica" w:hAnsi="Public Sans" w:cs="Segoe UI"/>
                <w:b/>
                <w:sz w:val="21"/>
                <w:szCs w:val="21"/>
              </w:rPr>
              <w:t>339</w:t>
            </w:r>
            <w:r w:rsidRPr="005576E4">
              <w:rPr>
                <w:rFonts w:ascii="Public Sans" w:eastAsia="Helvetica" w:hAnsi="Public Sans" w:cs="Segoe UI"/>
                <w:b/>
                <w:sz w:val="21"/>
                <w:szCs w:val="21"/>
              </w:rPr>
              <w:t>)</w:t>
            </w:r>
          </w:p>
        </w:tc>
        <w:tc>
          <w:tcPr>
            <w:tcW w:w="606" w:type="pct"/>
            <w:shd w:val="clear" w:color="auto" w:fill="A5CCDF"/>
          </w:tcPr>
          <w:p w14:paraId="6E1A8106" w14:textId="77777777" w:rsidR="00E958C0" w:rsidRPr="005576E4" w:rsidRDefault="00E958C0" w:rsidP="00E958C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Public Sans" w:eastAsia="Helvetica" w:hAnsi="Public Sans" w:cs="Segoe UI"/>
                <w:b/>
                <w:sz w:val="21"/>
                <w:szCs w:val="21"/>
              </w:rPr>
            </w:pPr>
            <w:r w:rsidRPr="005576E4">
              <w:rPr>
                <w:rFonts w:ascii="Public Sans" w:eastAsia="Helvetica" w:hAnsi="Public Sans" w:cs="Segoe UI"/>
                <w:b/>
                <w:sz w:val="21"/>
                <w:szCs w:val="21"/>
              </w:rPr>
              <w:t>% of all reports</w:t>
            </w:r>
          </w:p>
        </w:tc>
      </w:tr>
      <w:tr w:rsidR="00E958C0" w:rsidRPr="005576E4" w14:paraId="7C8FB35C" w14:textId="77777777" w:rsidTr="009431E0">
        <w:tc>
          <w:tcPr>
            <w:tcW w:w="895" w:type="pct"/>
          </w:tcPr>
          <w:p w14:paraId="401C5202" w14:textId="77777777" w:rsidR="00E958C0" w:rsidRPr="005576E4" w:rsidRDefault="00E958C0" w:rsidP="00E958C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Public Sans" w:eastAsia="Helvetica" w:hAnsi="Public Sans" w:cs="Segoe UI"/>
                <w:sz w:val="21"/>
                <w:szCs w:val="21"/>
              </w:rPr>
            </w:pPr>
            <w:r w:rsidRPr="005576E4">
              <w:rPr>
                <w:rFonts w:ascii="Public Sans" w:eastAsia="Helvetica" w:hAnsi="Public Sans" w:cs="Segoe UI"/>
                <w:sz w:val="21"/>
                <w:szCs w:val="21"/>
              </w:rPr>
              <w:t>Person identified as having a CALD background</w:t>
            </w:r>
          </w:p>
        </w:tc>
        <w:tc>
          <w:tcPr>
            <w:tcW w:w="771" w:type="pct"/>
          </w:tcPr>
          <w:p w14:paraId="1982FE94" w14:textId="7020D4A4" w:rsidR="00E958C0" w:rsidRPr="005576E4" w:rsidRDefault="004D0A0D" w:rsidP="00476881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93</w:t>
            </w:r>
          </w:p>
        </w:tc>
        <w:tc>
          <w:tcPr>
            <w:tcW w:w="682" w:type="pct"/>
          </w:tcPr>
          <w:p w14:paraId="516D442A" w14:textId="79701236" w:rsidR="00E958C0" w:rsidRPr="005576E4" w:rsidRDefault="004D0A0D" w:rsidP="00053CC5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9.1</w:t>
            </w:r>
          </w:p>
        </w:tc>
        <w:tc>
          <w:tcPr>
            <w:tcW w:w="682" w:type="pct"/>
          </w:tcPr>
          <w:p w14:paraId="67DCD546" w14:textId="18903B24" w:rsidR="00E958C0" w:rsidRPr="005576E4" w:rsidRDefault="004D0A0D" w:rsidP="00E958C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12</w:t>
            </w:r>
          </w:p>
        </w:tc>
        <w:tc>
          <w:tcPr>
            <w:tcW w:w="682" w:type="pct"/>
          </w:tcPr>
          <w:p w14:paraId="1DEECC5A" w14:textId="27749F5F" w:rsidR="00E958C0" w:rsidRPr="005576E4" w:rsidRDefault="004D0A0D" w:rsidP="00053CC5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3.8</w:t>
            </w:r>
          </w:p>
        </w:tc>
        <w:tc>
          <w:tcPr>
            <w:tcW w:w="682" w:type="pct"/>
          </w:tcPr>
          <w:p w14:paraId="6D225E14" w14:textId="36F9E0CF" w:rsidR="00E958C0" w:rsidRPr="005576E4" w:rsidRDefault="004D0A0D" w:rsidP="00E958C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Public Sans" w:eastAsia="Helvetica" w:hAnsi="Public Sans" w:cs="Segoe UI"/>
                <w:b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b/>
                <w:sz w:val="21"/>
                <w:szCs w:val="21"/>
              </w:rPr>
              <w:t>105</w:t>
            </w:r>
          </w:p>
        </w:tc>
        <w:tc>
          <w:tcPr>
            <w:tcW w:w="606" w:type="pct"/>
          </w:tcPr>
          <w:p w14:paraId="5A8006BF" w14:textId="36983127" w:rsidR="00E958C0" w:rsidRPr="005576E4" w:rsidRDefault="004D0A0D" w:rsidP="00053CC5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Public Sans" w:eastAsia="Helvetica" w:hAnsi="Public Sans" w:cs="Segoe UI"/>
                <w:b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b/>
                <w:sz w:val="21"/>
                <w:szCs w:val="21"/>
              </w:rPr>
              <w:t>7.8</w:t>
            </w:r>
          </w:p>
        </w:tc>
      </w:tr>
    </w:tbl>
    <w:p w14:paraId="2FE0D8CB" w14:textId="77777777" w:rsidR="00E958C0" w:rsidRPr="005576E4" w:rsidRDefault="00E958C0" w:rsidP="00E958C0">
      <w:pPr>
        <w:pStyle w:val="Body"/>
        <w:widowControl w:val="0"/>
        <w:spacing w:after="0" w:line="240" w:lineRule="auto"/>
        <w:rPr>
          <w:rFonts w:ascii="Public Sans" w:eastAsia="Helvetica" w:hAnsi="Public Sans" w:cs="Segoe UI"/>
        </w:rPr>
      </w:pPr>
    </w:p>
    <w:p w14:paraId="5FE9ADB3" w14:textId="77777777" w:rsidR="00E958C0" w:rsidRPr="005576E4" w:rsidRDefault="00E958C0" w:rsidP="00E958C0">
      <w:pPr>
        <w:pStyle w:val="Body"/>
        <w:widowControl w:val="0"/>
        <w:spacing w:after="0" w:line="240" w:lineRule="auto"/>
        <w:rPr>
          <w:rFonts w:ascii="Public Sans" w:eastAsia="Helvetica" w:hAnsi="Public Sans" w:cs="Segoe UI"/>
        </w:rPr>
      </w:pPr>
    </w:p>
    <w:p w14:paraId="22B99095" w14:textId="579E9D78" w:rsidR="00E958C0" w:rsidRPr="00F75B36" w:rsidRDefault="00E958C0" w:rsidP="00E958C0">
      <w:pPr>
        <w:pStyle w:val="Body"/>
        <w:widowControl w:val="0"/>
        <w:spacing w:after="0" w:line="240" w:lineRule="auto"/>
        <w:rPr>
          <w:rFonts w:ascii="Public Sans" w:eastAsia="Helvetica" w:hAnsi="Public Sans" w:cs="Segoe UI"/>
          <w:b/>
          <w:sz w:val="18"/>
        </w:rPr>
      </w:pPr>
      <w:r w:rsidRPr="00F75B36">
        <w:rPr>
          <w:rFonts w:ascii="Public Sans" w:eastAsia="Helvetica" w:hAnsi="Public Sans" w:cs="Segoe UI"/>
          <w:b/>
          <w:sz w:val="18"/>
        </w:rPr>
        <w:t xml:space="preserve">Table 3: </w:t>
      </w:r>
      <w:r w:rsidR="002525F1">
        <w:rPr>
          <w:rFonts w:ascii="Public Sans" w:eastAsia="Helvetica" w:hAnsi="Public Sans" w:cs="Segoe UI"/>
          <w:b/>
          <w:sz w:val="18"/>
        </w:rPr>
        <w:t xml:space="preserve">Primary language other than English spoken at home by </w:t>
      </w:r>
      <w:r w:rsidRPr="00F75B36">
        <w:rPr>
          <w:rFonts w:ascii="Public Sans" w:eastAsia="Helvetica" w:hAnsi="Public Sans" w:cs="Segoe UI"/>
          <w:b/>
          <w:sz w:val="18"/>
        </w:rPr>
        <w:t xml:space="preserve">people the subject of a report to the ADC, </w:t>
      </w:r>
      <w:r w:rsidR="00CD4548" w:rsidRPr="00F75B36">
        <w:rPr>
          <w:rFonts w:ascii="Public Sans" w:eastAsia="Helvetica" w:hAnsi="Public Sans" w:cs="Segoe UI"/>
          <w:b/>
          <w:sz w:val="18"/>
        </w:rPr>
        <w:t xml:space="preserve">by person status, </w:t>
      </w:r>
      <w:r w:rsidR="004D0A0D">
        <w:rPr>
          <w:rFonts w:ascii="Public Sans" w:eastAsia="Helvetica" w:hAnsi="Public Sans" w:cs="Segoe UI"/>
          <w:b/>
          <w:sz w:val="18"/>
        </w:rPr>
        <w:t>July</w:t>
      </w:r>
      <w:r w:rsidR="00CD4548" w:rsidRPr="00F75B36">
        <w:rPr>
          <w:rFonts w:ascii="Public Sans" w:eastAsia="Helvetica" w:hAnsi="Public Sans" w:cs="Segoe UI"/>
          <w:b/>
          <w:sz w:val="18"/>
        </w:rPr>
        <w:t>-</w:t>
      </w:r>
      <w:r w:rsidR="004D0A0D">
        <w:rPr>
          <w:rFonts w:ascii="Public Sans" w:eastAsia="Helvetica" w:hAnsi="Public Sans" w:cs="Segoe UI"/>
          <w:b/>
          <w:sz w:val="18"/>
        </w:rPr>
        <w:t>Sept</w:t>
      </w:r>
      <w:r w:rsidR="00CD4548" w:rsidRPr="00F75B36">
        <w:rPr>
          <w:rFonts w:ascii="Public Sans" w:eastAsia="Helvetica" w:hAnsi="Public Sans" w:cs="Segoe UI"/>
          <w:b/>
          <w:sz w:val="18"/>
        </w:rPr>
        <w:t xml:space="preserve"> 2</w:t>
      </w:r>
      <w:r w:rsidRPr="00F75B36">
        <w:rPr>
          <w:rFonts w:ascii="Public Sans" w:eastAsia="Helvetica" w:hAnsi="Public Sans" w:cs="Segoe UI"/>
          <w:b/>
          <w:sz w:val="18"/>
        </w:rPr>
        <w:t>02</w:t>
      </w:r>
      <w:r w:rsidR="002525F1">
        <w:rPr>
          <w:rFonts w:ascii="Public Sans" w:eastAsia="Helvetica" w:hAnsi="Public Sans" w:cs="Segoe UI"/>
          <w:b/>
          <w:sz w:val="18"/>
        </w:rPr>
        <w:t>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40"/>
        <w:gridCol w:w="1972"/>
        <w:gridCol w:w="2848"/>
        <w:gridCol w:w="1968"/>
      </w:tblGrid>
      <w:tr w:rsidR="00E958C0" w:rsidRPr="00D31642" w14:paraId="4D3F38B5" w14:textId="77777777" w:rsidTr="0073669A">
        <w:tc>
          <w:tcPr>
            <w:tcW w:w="2499" w:type="pct"/>
            <w:gridSpan w:val="2"/>
            <w:shd w:val="clear" w:color="auto" w:fill="A5CCDF"/>
          </w:tcPr>
          <w:p w14:paraId="43EC74D4" w14:textId="5540FB49" w:rsidR="00E958C0" w:rsidRPr="00D31642" w:rsidRDefault="00E958C0" w:rsidP="00342384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Public Sans" w:eastAsia="Helvetica" w:hAnsi="Public Sans" w:cs="Segoe UI"/>
                <w:b/>
                <w:sz w:val="21"/>
                <w:szCs w:val="21"/>
              </w:rPr>
            </w:pPr>
            <w:r w:rsidRPr="00D31642">
              <w:rPr>
                <w:rFonts w:ascii="Public Sans" w:eastAsia="Helvetica" w:hAnsi="Public Sans" w:cs="Segoe UI"/>
                <w:b/>
                <w:sz w:val="21"/>
                <w:szCs w:val="21"/>
              </w:rPr>
              <w:t>Older people (n=</w:t>
            </w:r>
            <w:r w:rsidR="004D0A0D">
              <w:rPr>
                <w:rFonts w:ascii="Public Sans" w:eastAsia="Helvetica" w:hAnsi="Public Sans" w:cs="Segoe UI"/>
                <w:b/>
                <w:sz w:val="21"/>
                <w:szCs w:val="21"/>
              </w:rPr>
              <w:t>1,025</w:t>
            </w:r>
            <w:r w:rsidRPr="00D31642">
              <w:rPr>
                <w:rFonts w:ascii="Public Sans" w:eastAsia="Helvetica" w:hAnsi="Public Sans" w:cs="Segoe UI"/>
                <w:b/>
                <w:sz w:val="21"/>
                <w:szCs w:val="21"/>
              </w:rPr>
              <w:t>)</w:t>
            </w:r>
          </w:p>
        </w:tc>
        <w:tc>
          <w:tcPr>
            <w:tcW w:w="2501" w:type="pct"/>
            <w:gridSpan w:val="2"/>
            <w:shd w:val="clear" w:color="auto" w:fill="A5CCDF"/>
          </w:tcPr>
          <w:p w14:paraId="614AB48B" w14:textId="7ADF2FF8" w:rsidR="00E958C0" w:rsidRPr="00D31642" w:rsidRDefault="00E958C0" w:rsidP="00E958C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Public Sans" w:eastAsia="Helvetica" w:hAnsi="Public Sans" w:cs="Segoe UI"/>
                <w:b/>
                <w:sz w:val="21"/>
                <w:szCs w:val="21"/>
              </w:rPr>
            </w:pPr>
            <w:r w:rsidRPr="00D31642">
              <w:rPr>
                <w:rFonts w:ascii="Public Sans" w:eastAsia="Helvetica" w:hAnsi="Public Sans" w:cs="Segoe UI"/>
                <w:b/>
                <w:sz w:val="21"/>
                <w:szCs w:val="21"/>
              </w:rPr>
              <w:t>Adults with disability (n=</w:t>
            </w:r>
            <w:r w:rsidR="004D0A0D">
              <w:rPr>
                <w:rFonts w:ascii="Public Sans" w:eastAsia="Helvetica" w:hAnsi="Public Sans" w:cs="Segoe UI"/>
                <w:b/>
                <w:sz w:val="21"/>
                <w:szCs w:val="21"/>
              </w:rPr>
              <w:t>314</w:t>
            </w:r>
            <w:r w:rsidRPr="00D31642">
              <w:rPr>
                <w:rFonts w:ascii="Public Sans" w:eastAsia="Helvetica" w:hAnsi="Public Sans" w:cs="Segoe UI"/>
                <w:b/>
                <w:sz w:val="21"/>
                <w:szCs w:val="21"/>
              </w:rPr>
              <w:t>)</w:t>
            </w:r>
          </w:p>
          <w:p w14:paraId="09FD15EF" w14:textId="77777777" w:rsidR="00E958C0" w:rsidRPr="00D31642" w:rsidRDefault="00E958C0" w:rsidP="00E958C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Public Sans" w:eastAsia="Helvetica" w:hAnsi="Public Sans" w:cs="Segoe UI"/>
                <w:b/>
                <w:sz w:val="21"/>
                <w:szCs w:val="21"/>
              </w:rPr>
            </w:pPr>
          </w:p>
        </w:tc>
      </w:tr>
      <w:tr w:rsidR="00E958C0" w:rsidRPr="00D31642" w14:paraId="6701C585" w14:textId="77777777" w:rsidTr="0073669A">
        <w:tc>
          <w:tcPr>
            <w:tcW w:w="1475" w:type="pct"/>
          </w:tcPr>
          <w:p w14:paraId="0D6F4B27" w14:textId="240BA869" w:rsidR="00E958C0" w:rsidRPr="00D31642" w:rsidRDefault="004D0A0D" w:rsidP="00E958C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Italian</w:t>
            </w:r>
          </w:p>
        </w:tc>
        <w:tc>
          <w:tcPr>
            <w:tcW w:w="1024" w:type="pct"/>
          </w:tcPr>
          <w:p w14:paraId="01A2D104" w14:textId="6E94AFBF" w:rsidR="00E958C0" w:rsidRPr="00D31642" w:rsidRDefault="004D0A0D" w:rsidP="00A94F09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16</w:t>
            </w:r>
          </w:p>
        </w:tc>
        <w:tc>
          <w:tcPr>
            <w:tcW w:w="1479" w:type="pct"/>
          </w:tcPr>
          <w:p w14:paraId="5E39429E" w14:textId="19568312" w:rsidR="00E958C0" w:rsidRPr="00D31642" w:rsidRDefault="004D0A0D" w:rsidP="00E958C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Italian</w:t>
            </w:r>
          </w:p>
        </w:tc>
        <w:tc>
          <w:tcPr>
            <w:tcW w:w="1022" w:type="pct"/>
          </w:tcPr>
          <w:p w14:paraId="55BDA222" w14:textId="77777777" w:rsidR="00E958C0" w:rsidRPr="00D31642" w:rsidRDefault="008B2E77" w:rsidP="002B6964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3</w:t>
            </w:r>
          </w:p>
        </w:tc>
      </w:tr>
      <w:tr w:rsidR="00E958C0" w:rsidRPr="00D31642" w14:paraId="1ABAC333" w14:textId="77777777" w:rsidTr="0073669A">
        <w:tc>
          <w:tcPr>
            <w:tcW w:w="1475" w:type="pct"/>
          </w:tcPr>
          <w:p w14:paraId="4A0370FB" w14:textId="347D0584" w:rsidR="00E958C0" w:rsidRPr="00D31642" w:rsidRDefault="004D0A0D" w:rsidP="00E958C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Arabic</w:t>
            </w:r>
          </w:p>
        </w:tc>
        <w:tc>
          <w:tcPr>
            <w:tcW w:w="1024" w:type="pct"/>
          </w:tcPr>
          <w:p w14:paraId="01123C15" w14:textId="09D7492B" w:rsidR="00E958C0" w:rsidRPr="00D31642" w:rsidRDefault="004D0A0D" w:rsidP="00247D27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15</w:t>
            </w:r>
          </w:p>
        </w:tc>
        <w:tc>
          <w:tcPr>
            <w:tcW w:w="1479" w:type="pct"/>
          </w:tcPr>
          <w:p w14:paraId="33979E83" w14:textId="1ACF1DBD" w:rsidR="00E958C0" w:rsidRPr="00D31642" w:rsidRDefault="004D0A0D" w:rsidP="00E958C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Hindi</w:t>
            </w:r>
          </w:p>
        </w:tc>
        <w:tc>
          <w:tcPr>
            <w:tcW w:w="1022" w:type="pct"/>
          </w:tcPr>
          <w:p w14:paraId="5AA8D9DC" w14:textId="16B48D31" w:rsidR="00E958C0" w:rsidRPr="00D31642" w:rsidRDefault="004D0A0D" w:rsidP="002B6964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&lt;</w:t>
            </w:r>
            <w:r w:rsidR="002B6964" w:rsidRPr="00D31642">
              <w:rPr>
                <w:rFonts w:ascii="Public Sans" w:eastAsia="Helvetica" w:hAnsi="Public Sans" w:cs="Segoe UI"/>
                <w:sz w:val="21"/>
                <w:szCs w:val="21"/>
              </w:rPr>
              <w:t>3</w:t>
            </w:r>
          </w:p>
        </w:tc>
      </w:tr>
      <w:tr w:rsidR="00E958C0" w:rsidRPr="00D31642" w14:paraId="61122636" w14:textId="77777777" w:rsidTr="0073669A">
        <w:tc>
          <w:tcPr>
            <w:tcW w:w="1475" w:type="pct"/>
          </w:tcPr>
          <w:p w14:paraId="09DF3779" w14:textId="24AC529B" w:rsidR="00E958C0" w:rsidRPr="00D31642" w:rsidRDefault="004D0A0D" w:rsidP="00E958C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Greek</w:t>
            </w:r>
          </w:p>
        </w:tc>
        <w:tc>
          <w:tcPr>
            <w:tcW w:w="1024" w:type="pct"/>
          </w:tcPr>
          <w:p w14:paraId="535FDC6C" w14:textId="03ABAD1A" w:rsidR="00E958C0" w:rsidRPr="00D31642" w:rsidRDefault="004D0A0D" w:rsidP="00247D27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12</w:t>
            </w:r>
          </w:p>
        </w:tc>
        <w:tc>
          <w:tcPr>
            <w:tcW w:w="1479" w:type="pct"/>
          </w:tcPr>
          <w:p w14:paraId="1F97EF4E" w14:textId="4E0960D7" w:rsidR="00E958C0" w:rsidRPr="00D31642" w:rsidRDefault="004D0A0D" w:rsidP="00E958C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Tamil</w:t>
            </w:r>
          </w:p>
        </w:tc>
        <w:tc>
          <w:tcPr>
            <w:tcW w:w="1022" w:type="pct"/>
          </w:tcPr>
          <w:p w14:paraId="22C45589" w14:textId="77777777" w:rsidR="00E958C0" w:rsidRPr="00D31642" w:rsidRDefault="002B6964" w:rsidP="002B6964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Public Sans" w:eastAsia="Helvetica" w:hAnsi="Public Sans" w:cs="Segoe UI"/>
                <w:sz w:val="21"/>
                <w:szCs w:val="21"/>
              </w:rPr>
            </w:pPr>
            <w:r w:rsidRPr="00D31642">
              <w:rPr>
                <w:rFonts w:ascii="Public Sans" w:eastAsia="Helvetica" w:hAnsi="Public Sans" w:cs="Segoe UI"/>
                <w:sz w:val="21"/>
                <w:szCs w:val="21"/>
              </w:rPr>
              <w:t>&lt;3</w:t>
            </w:r>
          </w:p>
        </w:tc>
      </w:tr>
      <w:tr w:rsidR="00E958C0" w:rsidRPr="00D31642" w14:paraId="56D121E2" w14:textId="77777777" w:rsidTr="0073669A">
        <w:tc>
          <w:tcPr>
            <w:tcW w:w="1475" w:type="pct"/>
          </w:tcPr>
          <w:p w14:paraId="1050BD5D" w14:textId="77777777" w:rsidR="00E958C0" w:rsidRPr="00D31642" w:rsidRDefault="00791F02" w:rsidP="00E958C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Spanish</w:t>
            </w:r>
          </w:p>
        </w:tc>
        <w:tc>
          <w:tcPr>
            <w:tcW w:w="1024" w:type="pct"/>
          </w:tcPr>
          <w:p w14:paraId="047D40CD" w14:textId="6C1C71C5" w:rsidR="00E958C0" w:rsidRPr="00D31642" w:rsidRDefault="004D0A0D" w:rsidP="00247D27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7</w:t>
            </w:r>
          </w:p>
        </w:tc>
        <w:tc>
          <w:tcPr>
            <w:tcW w:w="1479" w:type="pct"/>
          </w:tcPr>
          <w:p w14:paraId="542BABCC" w14:textId="43A89249" w:rsidR="00E958C0" w:rsidRPr="00D31642" w:rsidRDefault="004D0A0D" w:rsidP="00E958C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Chinese</w:t>
            </w:r>
          </w:p>
        </w:tc>
        <w:tc>
          <w:tcPr>
            <w:tcW w:w="1022" w:type="pct"/>
          </w:tcPr>
          <w:p w14:paraId="2A6A9B36" w14:textId="77777777" w:rsidR="00E958C0" w:rsidRPr="00D31642" w:rsidRDefault="008B2E77" w:rsidP="002B6964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&lt;3</w:t>
            </w:r>
          </w:p>
        </w:tc>
      </w:tr>
      <w:tr w:rsidR="00E958C0" w:rsidRPr="00D31642" w14:paraId="09F5EB7F" w14:textId="77777777" w:rsidTr="0073669A">
        <w:tc>
          <w:tcPr>
            <w:tcW w:w="1475" w:type="pct"/>
          </w:tcPr>
          <w:p w14:paraId="300DCEF1" w14:textId="74A37E40" w:rsidR="00E958C0" w:rsidRPr="00D31642" w:rsidRDefault="00205DA6" w:rsidP="00E958C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C</w:t>
            </w:r>
            <w:r w:rsidR="004D0A0D">
              <w:rPr>
                <w:rFonts w:ascii="Public Sans" w:eastAsia="Helvetica" w:hAnsi="Public Sans" w:cs="Segoe UI"/>
                <w:sz w:val="21"/>
                <w:szCs w:val="21"/>
              </w:rPr>
              <w:t>roatian</w:t>
            </w:r>
          </w:p>
        </w:tc>
        <w:tc>
          <w:tcPr>
            <w:tcW w:w="1024" w:type="pct"/>
          </w:tcPr>
          <w:p w14:paraId="1CC8C659" w14:textId="3F2F54C3" w:rsidR="00E958C0" w:rsidRPr="00D31642" w:rsidRDefault="004D0A0D" w:rsidP="00F75B36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4</w:t>
            </w:r>
          </w:p>
        </w:tc>
        <w:tc>
          <w:tcPr>
            <w:tcW w:w="1479" w:type="pct"/>
          </w:tcPr>
          <w:p w14:paraId="5D6E1328" w14:textId="1DA66D0A" w:rsidR="00E958C0" w:rsidRPr="00D31642" w:rsidRDefault="004D0A0D" w:rsidP="00E958C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Greek</w:t>
            </w:r>
          </w:p>
        </w:tc>
        <w:tc>
          <w:tcPr>
            <w:tcW w:w="1022" w:type="pct"/>
          </w:tcPr>
          <w:p w14:paraId="62E1C2AA" w14:textId="77777777" w:rsidR="00E958C0" w:rsidRPr="00D31642" w:rsidRDefault="0073669A" w:rsidP="002B6964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&lt;3</w:t>
            </w:r>
          </w:p>
        </w:tc>
      </w:tr>
      <w:tr w:rsidR="00205DA6" w:rsidRPr="00D31642" w14:paraId="0747EF53" w14:textId="77777777" w:rsidTr="0073669A">
        <w:tc>
          <w:tcPr>
            <w:tcW w:w="1475" w:type="pct"/>
          </w:tcPr>
          <w:p w14:paraId="3A5824A7" w14:textId="01819595" w:rsidR="00205DA6" w:rsidRDefault="004D0A0D" w:rsidP="00E958C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Mandarin</w:t>
            </w:r>
          </w:p>
        </w:tc>
        <w:tc>
          <w:tcPr>
            <w:tcW w:w="1024" w:type="pct"/>
          </w:tcPr>
          <w:p w14:paraId="6282F960" w14:textId="63542575" w:rsidR="00205DA6" w:rsidRDefault="004D0A0D" w:rsidP="00F75B36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4</w:t>
            </w:r>
          </w:p>
        </w:tc>
        <w:tc>
          <w:tcPr>
            <w:tcW w:w="1479" w:type="pct"/>
          </w:tcPr>
          <w:p w14:paraId="55A5C87E" w14:textId="0BD75234" w:rsidR="00205DA6" w:rsidRDefault="004D0A0D" w:rsidP="00E958C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Spanish</w:t>
            </w:r>
          </w:p>
        </w:tc>
        <w:tc>
          <w:tcPr>
            <w:tcW w:w="1022" w:type="pct"/>
          </w:tcPr>
          <w:p w14:paraId="540963D6" w14:textId="77777777" w:rsidR="00205DA6" w:rsidRDefault="00205DA6" w:rsidP="002B6964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&lt;3</w:t>
            </w:r>
          </w:p>
        </w:tc>
      </w:tr>
      <w:tr w:rsidR="00205DA6" w:rsidRPr="00D31642" w14:paraId="3DC2FCEF" w14:textId="77777777" w:rsidTr="0073669A">
        <w:tc>
          <w:tcPr>
            <w:tcW w:w="1475" w:type="pct"/>
          </w:tcPr>
          <w:p w14:paraId="6DB4E9D0" w14:textId="14A692E9" w:rsidR="00205DA6" w:rsidRDefault="004D0A0D" w:rsidP="00E958C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Punjabi</w:t>
            </w:r>
          </w:p>
        </w:tc>
        <w:tc>
          <w:tcPr>
            <w:tcW w:w="1024" w:type="pct"/>
          </w:tcPr>
          <w:p w14:paraId="507AC646" w14:textId="555EBB27" w:rsidR="00205DA6" w:rsidRDefault="004D0A0D" w:rsidP="00F75B36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3</w:t>
            </w:r>
          </w:p>
        </w:tc>
        <w:tc>
          <w:tcPr>
            <w:tcW w:w="1479" w:type="pct"/>
          </w:tcPr>
          <w:p w14:paraId="1115530F" w14:textId="11CABCBB" w:rsidR="00205DA6" w:rsidRDefault="004D0A0D" w:rsidP="00E958C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Turkish</w:t>
            </w:r>
          </w:p>
        </w:tc>
        <w:tc>
          <w:tcPr>
            <w:tcW w:w="1022" w:type="pct"/>
          </w:tcPr>
          <w:p w14:paraId="7A2021F0" w14:textId="77777777" w:rsidR="00205DA6" w:rsidRDefault="00205DA6" w:rsidP="002B6964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&lt;3</w:t>
            </w:r>
          </w:p>
        </w:tc>
      </w:tr>
      <w:tr w:rsidR="00205DA6" w:rsidRPr="00D31642" w14:paraId="7A744848" w14:textId="77777777" w:rsidTr="0073669A">
        <w:tc>
          <w:tcPr>
            <w:tcW w:w="1475" w:type="pct"/>
          </w:tcPr>
          <w:p w14:paraId="7C6E2354" w14:textId="5CD2B491" w:rsidR="00205DA6" w:rsidRDefault="004D0A0D" w:rsidP="00E958C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Cantonese</w:t>
            </w:r>
          </w:p>
        </w:tc>
        <w:tc>
          <w:tcPr>
            <w:tcW w:w="1024" w:type="pct"/>
          </w:tcPr>
          <w:p w14:paraId="284E4ACC" w14:textId="1A65FC1D" w:rsidR="00205DA6" w:rsidRDefault="004D0A0D" w:rsidP="00F75B36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3</w:t>
            </w:r>
          </w:p>
        </w:tc>
        <w:tc>
          <w:tcPr>
            <w:tcW w:w="1479" w:type="pct"/>
          </w:tcPr>
          <w:p w14:paraId="5E98428F" w14:textId="2A580FF3" w:rsidR="00205DA6" w:rsidRDefault="004D0A0D" w:rsidP="00E958C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Vietnamese</w:t>
            </w:r>
          </w:p>
        </w:tc>
        <w:tc>
          <w:tcPr>
            <w:tcW w:w="1022" w:type="pct"/>
          </w:tcPr>
          <w:p w14:paraId="123E489C" w14:textId="77777777" w:rsidR="00205DA6" w:rsidRDefault="00205DA6" w:rsidP="002B6964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&lt;3</w:t>
            </w:r>
          </w:p>
        </w:tc>
      </w:tr>
      <w:tr w:rsidR="004D0A0D" w:rsidRPr="00D31642" w14:paraId="4B596406" w14:textId="77777777" w:rsidTr="0073669A">
        <w:tc>
          <w:tcPr>
            <w:tcW w:w="1475" w:type="pct"/>
          </w:tcPr>
          <w:p w14:paraId="312882B8" w14:textId="7C8E4850" w:rsidR="004D0A0D" w:rsidRDefault="004D0A0D" w:rsidP="00E958C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Dutch</w:t>
            </w:r>
          </w:p>
        </w:tc>
        <w:tc>
          <w:tcPr>
            <w:tcW w:w="1024" w:type="pct"/>
          </w:tcPr>
          <w:p w14:paraId="7A2B948C" w14:textId="7979153A" w:rsidR="004D0A0D" w:rsidRDefault="004D0A0D" w:rsidP="00F75B36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3</w:t>
            </w:r>
          </w:p>
        </w:tc>
        <w:tc>
          <w:tcPr>
            <w:tcW w:w="1479" w:type="pct"/>
          </w:tcPr>
          <w:p w14:paraId="74EEB88A" w14:textId="77777777" w:rsidR="004D0A0D" w:rsidRDefault="004D0A0D" w:rsidP="00E958C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Public Sans" w:eastAsia="Helvetica" w:hAnsi="Public Sans" w:cs="Segoe UI"/>
                <w:sz w:val="21"/>
                <w:szCs w:val="21"/>
              </w:rPr>
            </w:pPr>
          </w:p>
        </w:tc>
        <w:tc>
          <w:tcPr>
            <w:tcW w:w="1022" w:type="pct"/>
          </w:tcPr>
          <w:p w14:paraId="052A85BD" w14:textId="77777777" w:rsidR="004D0A0D" w:rsidRDefault="004D0A0D" w:rsidP="002B6964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Public Sans" w:eastAsia="Helvetica" w:hAnsi="Public Sans" w:cs="Segoe UI"/>
                <w:sz w:val="21"/>
                <w:szCs w:val="21"/>
              </w:rPr>
            </w:pPr>
          </w:p>
        </w:tc>
      </w:tr>
      <w:tr w:rsidR="004D0A0D" w:rsidRPr="00D31642" w14:paraId="0DA5431B" w14:textId="77777777" w:rsidTr="0073669A">
        <w:tc>
          <w:tcPr>
            <w:tcW w:w="1475" w:type="pct"/>
          </w:tcPr>
          <w:p w14:paraId="668A9EA0" w14:textId="43E055ED" w:rsidR="004D0A0D" w:rsidRDefault="004D0A0D" w:rsidP="00E958C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Macedonian</w:t>
            </w:r>
          </w:p>
        </w:tc>
        <w:tc>
          <w:tcPr>
            <w:tcW w:w="1024" w:type="pct"/>
          </w:tcPr>
          <w:p w14:paraId="6EF444FA" w14:textId="104D49E1" w:rsidR="004D0A0D" w:rsidRDefault="004D0A0D" w:rsidP="00F75B36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3</w:t>
            </w:r>
          </w:p>
        </w:tc>
        <w:tc>
          <w:tcPr>
            <w:tcW w:w="1479" w:type="pct"/>
          </w:tcPr>
          <w:p w14:paraId="2C071765" w14:textId="77777777" w:rsidR="004D0A0D" w:rsidRDefault="004D0A0D" w:rsidP="00E958C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Public Sans" w:eastAsia="Helvetica" w:hAnsi="Public Sans" w:cs="Segoe UI"/>
                <w:sz w:val="21"/>
                <w:szCs w:val="21"/>
              </w:rPr>
            </w:pPr>
          </w:p>
        </w:tc>
        <w:tc>
          <w:tcPr>
            <w:tcW w:w="1022" w:type="pct"/>
          </w:tcPr>
          <w:p w14:paraId="271938D0" w14:textId="77777777" w:rsidR="004D0A0D" w:rsidRDefault="004D0A0D" w:rsidP="002B6964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Public Sans" w:eastAsia="Helvetica" w:hAnsi="Public Sans" w:cs="Segoe UI"/>
                <w:sz w:val="21"/>
                <w:szCs w:val="21"/>
              </w:rPr>
            </w:pPr>
          </w:p>
        </w:tc>
      </w:tr>
    </w:tbl>
    <w:p w14:paraId="5A05FA86" w14:textId="77777777" w:rsidR="00E958C0" w:rsidRDefault="00E958C0" w:rsidP="00E958C0">
      <w:pPr>
        <w:spacing w:after="0" w:line="240" w:lineRule="auto"/>
        <w:rPr>
          <w:rFonts w:ascii="Public Sans" w:hAnsi="Public Sans"/>
          <w:sz w:val="24"/>
        </w:rPr>
      </w:pPr>
      <w:r w:rsidRPr="005576E4">
        <w:rPr>
          <w:rFonts w:ascii="Public Sans" w:hAnsi="Public Sans"/>
        </w:rPr>
        <w:t xml:space="preserve"> </w:t>
      </w:r>
    </w:p>
    <w:p w14:paraId="3268D700" w14:textId="77777777" w:rsidR="00DF4595" w:rsidRPr="00DF4595" w:rsidRDefault="00DF4595" w:rsidP="00E958C0">
      <w:pPr>
        <w:spacing w:after="0" w:line="240" w:lineRule="auto"/>
        <w:rPr>
          <w:rFonts w:ascii="Public Sans" w:hAnsi="Public Sans"/>
          <w:sz w:val="24"/>
        </w:rPr>
      </w:pPr>
    </w:p>
    <w:p w14:paraId="7B0CD930" w14:textId="77777777" w:rsidR="008A614A" w:rsidRPr="00F75B36" w:rsidRDefault="00E134D4" w:rsidP="007A4BC6">
      <w:pPr>
        <w:pStyle w:val="Heading2"/>
        <w:spacing w:before="0"/>
        <w:rPr>
          <w:rFonts w:ascii="Public Sans" w:hAnsi="Public Sans"/>
          <w:b/>
          <w:color w:val="auto"/>
        </w:rPr>
      </w:pPr>
      <w:r w:rsidRPr="00F75B36">
        <w:rPr>
          <w:rFonts w:ascii="Public Sans" w:hAnsi="Public Sans"/>
          <w:b/>
          <w:color w:val="auto"/>
        </w:rPr>
        <w:lastRenderedPageBreak/>
        <w:t>2.</w:t>
      </w:r>
      <w:r w:rsidR="00904EAF" w:rsidRPr="00F75B36">
        <w:rPr>
          <w:rFonts w:ascii="Public Sans" w:hAnsi="Public Sans"/>
          <w:b/>
          <w:color w:val="auto"/>
        </w:rPr>
        <w:t>4</w:t>
      </w:r>
      <w:r w:rsidRPr="00F75B36">
        <w:rPr>
          <w:rFonts w:ascii="Public Sans" w:hAnsi="Public Sans"/>
          <w:b/>
          <w:color w:val="auto"/>
        </w:rPr>
        <w:t xml:space="preserve"> </w:t>
      </w:r>
      <w:r w:rsidR="00631A3A" w:rsidRPr="00F75B36">
        <w:rPr>
          <w:rFonts w:ascii="Public Sans" w:hAnsi="Public Sans"/>
          <w:b/>
          <w:color w:val="auto"/>
        </w:rPr>
        <w:tab/>
      </w:r>
      <w:r w:rsidR="00014357" w:rsidRPr="00F75B36">
        <w:rPr>
          <w:rFonts w:ascii="Public Sans" w:hAnsi="Public Sans"/>
          <w:b/>
          <w:color w:val="auto"/>
        </w:rPr>
        <w:t xml:space="preserve">Gender </w:t>
      </w:r>
    </w:p>
    <w:p w14:paraId="36F4FD80" w14:textId="40D08942" w:rsidR="003D1F72" w:rsidRDefault="00F54F4A" w:rsidP="00F75B36">
      <w:pPr>
        <w:pStyle w:val="Body"/>
        <w:widowControl w:val="0"/>
        <w:spacing w:before="120" w:after="0" w:line="240" w:lineRule="auto"/>
        <w:rPr>
          <w:rFonts w:ascii="Public Sans" w:eastAsia="Helvetica" w:hAnsi="Public Sans" w:cs="Segoe UI"/>
        </w:rPr>
      </w:pPr>
      <w:r>
        <w:rPr>
          <w:rFonts w:ascii="Public Sans" w:eastAsia="Helvetica" w:hAnsi="Public Sans" w:cs="Segoe UI"/>
        </w:rPr>
        <w:t>Consistent with reports since the start of the ADC, m</w:t>
      </w:r>
      <w:r w:rsidR="00890BC3" w:rsidRPr="005576E4">
        <w:rPr>
          <w:rFonts w:ascii="Public Sans" w:eastAsia="Helvetica" w:hAnsi="Public Sans" w:cs="Segoe UI"/>
        </w:rPr>
        <w:t>ost (6</w:t>
      </w:r>
      <w:r w:rsidR="002C684D">
        <w:rPr>
          <w:rFonts w:ascii="Public Sans" w:eastAsia="Helvetica" w:hAnsi="Public Sans" w:cs="Segoe UI"/>
        </w:rPr>
        <w:t>3.7</w:t>
      </w:r>
      <w:r w:rsidR="00890BC3" w:rsidRPr="005576E4">
        <w:rPr>
          <w:rFonts w:ascii="Public Sans" w:eastAsia="Helvetica" w:hAnsi="Public Sans" w:cs="Segoe UI"/>
        </w:rPr>
        <w:t xml:space="preserve">%) of the </w:t>
      </w:r>
      <w:r w:rsidR="002C684D">
        <w:rPr>
          <w:rFonts w:ascii="Public Sans" w:eastAsia="Helvetica" w:hAnsi="Public Sans" w:cs="Segoe UI"/>
        </w:rPr>
        <w:t xml:space="preserve">1,025 </w:t>
      </w:r>
      <w:r w:rsidR="00890BC3" w:rsidRPr="005576E4">
        <w:rPr>
          <w:rFonts w:ascii="Public Sans" w:eastAsia="Helvetica" w:hAnsi="Public Sans" w:cs="Segoe UI"/>
        </w:rPr>
        <w:t xml:space="preserve">reports to the ADC about older people in </w:t>
      </w:r>
      <w:r w:rsidR="002C684D">
        <w:rPr>
          <w:rFonts w:ascii="Public Sans" w:eastAsia="Helvetica" w:hAnsi="Public Sans" w:cs="Segoe UI"/>
        </w:rPr>
        <w:t>July</w:t>
      </w:r>
      <w:r w:rsidR="00890BC3" w:rsidRPr="005576E4">
        <w:rPr>
          <w:rFonts w:ascii="Public Sans" w:eastAsia="Helvetica" w:hAnsi="Public Sans" w:cs="Segoe UI"/>
        </w:rPr>
        <w:t xml:space="preserve"> – </w:t>
      </w:r>
      <w:r w:rsidR="002C684D">
        <w:rPr>
          <w:rFonts w:ascii="Public Sans" w:eastAsia="Helvetica" w:hAnsi="Public Sans" w:cs="Segoe UI"/>
        </w:rPr>
        <w:t>September</w:t>
      </w:r>
      <w:r w:rsidR="00CC4D6E">
        <w:rPr>
          <w:rFonts w:ascii="Public Sans" w:eastAsia="Helvetica" w:hAnsi="Public Sans" w:cs="Segoe UI"/>
        </w:rPr>
        <w:t xml:space="preserve"> 202</w:t>
      </w:r>
      <w:r w:rsidR="00897671">
        <w:rPr>
          <w:rFonts w:ascii="Public Sans" w:eastAsia="Helvetica" w:hAnsi="Public Sans" w:cs="Segoe UI"/>
        </w:rPr>
        <w:t>3</w:t>
      </w:r>
      <w:r w:rsidR="00890BC3" w:rsidRPr="005576E4">
        <w:rPr>
          <w:rFonts w:ascii="Public Sans" w:eastAsia="Helvetica" w:hAnsi="Public Sans" w:cs="Segoe UI"/>
        </w:rPr>
        <w:t xml:space="preserve"> concerned older women. </w:t>
      </w:r>
    </w:p>
    <w:p w14:paraId="6FADE31A" w14:textId="77777777" w:rsidR="003D1F72" w:rsidRDefault="003D1F72" w:rsidP="003D1F72">
      <w:pPr>
        <w:pStyle w:val="Body"/>
        <w:widowControl w:val="0"/>
        <w:spacing w:after="0" w:line="240" w:lineRule="auto"/>
        <w:rPr>
          <w:rFonts w:ascii="Public Sans" w:eastAsia="Helvetica" w:hAnsi="Public Sans" w:cs="Segoe UI"/>
        </w:rPr>
      </w:pPr>
    </w:p>
    <w:p w14:paraId="7CEE40D9" w14:textId="33BD4F21" w:rsidR="00890BC3" w:rsidRPr="005576E4" w:rsidRDefault="00890BC3" w:rsidP="003D1F72">
      <w:pPr>
        <w:pStyle w:val="Body"/>
        <w:widowControl w:val="0"/>
        <w:spacing w:after="0" w:line="240" w:lineRule="auto"/>
        <w:rPr>
          <w:rFonts w:ascii="Public Sans" w:eastAsia="Helvetica" w:hAnsi="Public Sans" w:cs="Segoe UI"/>
        </w:rPr>
      </w:pPr>
      <w:r w:rsidRPr="005576E4">
        <w:rPr>
          <w:rFonts w:ascii="Public Sans" w:eastAsia="Helvetica" w:hAnsi="Public Sans" w:cs="Segoe UI"/>
        </w:rPr>
        <w:t xml:space="preserve">Of the </w:t>
      </w:r>
      <w:r w:rsidR="002C684D">
        <w:rPr>
          <w:rFonts w:ascii="Public Sans" w:eastAsia="Helvetica" w:hAnsi="Public Sans" w:cs="Segoe UI"/>
        </w:rPr>
        <w:t>314</w:t>
      </w:r>
      <w:r w:rsidRPr="005576E4">
        <w:rPr>
          <w:rFonts w:ascii="Public Sans" w:eastAsia="Helvetica" w:hAnsi="Public Sans" w:cs="Segoe UI"/>
        </w:rPr>
        <w:t xml:space="preserve"> reports to the ADC about adults with disability in this quarter, </w:t>
      </w:r>
      <w:r w:rsidR="002C684D">
        <w:rPr>
          <w:rFonts w:ascii="Public Sans" w:eastAsia="Helvetica" w:hAnsi="Public Sans" w:cs="Segoe UI"/>
        </w:rPr>
        <w:t xml:space="preserve">just over </w:t>
      </w:r>
      <w:r w:rsidRPr="005576E4">
        <w:rPr>
          <w:rFonts w:ascii="Public Sans" w:eastAsia="Helvetica" w:hAnsi="Public Sans" w:cs="Segoe UI"/>
        </w:rPr>
        <w:t>half (5</w:t>
      </w:r>
      <w:r w:rsidR="002C684D">
        <w:rPr>
          <w:rFonts w:ascii="Public Sans" w:eastAsia="Helvetica" w:hAnsi="Public Sans" w:cs="Segoe UI"/>
        </w:rPr>
        <w:t>3.5</w:t>
      </w:r>
      <w:r w:rsidRPr="005576E4">
        <w:rPr>
          <w:rFonts w:ascii="Public Sans" w:eastAsia="Helvetica" w:hAnsi="Public Sans" w:cs="Segoe UI"/>
        </w:rPr>
        <w:t xml:space="preserve">%) were about women with disability. </w:t>
      </w:r>
    </w:p>
    <w:p w14:paraId="5B3AADF5" w14:textId="77777777" w:rsidR="00014357" w:rsidRPr="005576E4" w:rsidRDefault="00014357" w:rsidP="007A4BC6">
      <w:pPr>
        <w:pStyle w:val="Body"/>
        <w:widowControl w:val="0"/>
        <w:spacing w:after="0" w:line="240" w:lineRule="auto"/>
        <w:rPr>
          <w:rFonts w:ascii="Public Sans" w:eastAsia="Helvetica" w:hAnsi="Public Sans" w:cs="Segoe UI"/>
          <w:sz w:val="20"/>
        </w:rPr>
      </w:pPr>
    </w:p>
    <w:p w14:paraId="753063D9" w14:textId="30A53E00" w:rsidR="003D02E4" w:rsidRPr="00CA111C" w:rsidRDefault="003D02E4" w:rsidP="003D02E4">
      <w:pPr>
        <w:spacing w:after="0" w:line="240" w:lineRule="auto"/>
        <w:rPr>
          <w:rFonts w:ascii="Public Sans" w:hAnsi="Public Sans" w:cs="Segoe UI"/>
          <w:b/>
          <w:sz w:val="18"/>
        </w:rPr>
      </w:pPr>
      <w:r w:rsidRPr="00CA111C">
        <w:rPr>
          <w:rFonts w:ascii="Public Sans" w:hAnsi="Public Sans" w:cs="Segoe UI"/>
          <w:b/>
          <w:sz w:val="18"/>
        </w:rPr>
        <w:t xml:space="preserve">Figure 4: Gender of </w:t>
      </w:r>
      <w:r w:rsidR="008014CA" w:rsidRPr="00CA111C">
        <w:rPr>
          <w:rFonts w:ascii="Public Sans" w:hAnsi="Public Sans" w:cs="Segoe UI"/>
          <w:b/>
          <w:sz w:val="18"/>
        </w:rPr>
        <w:t xml:space="preserve">adults with disability and </w:t>
      </w:r>
      <w:r w:rsidRPr="00CA111C">
        <w:rPr>
          <w:rFonts w:ascii="Public Sans" w:hAnsi="Public Sans" w:cs="Segoe UI"/>
          <w:b/>
          <w:sz w:val="18"/>
        </w:rPr>
        <w:t xml:space="preserve">older people the subject of a report to the ADC, </w:t>
      </w:r>
      <w:r w:rsidR="002C684D">
        <w:rPr>
          <w:rFonts w:ascii="Public Sans" w:hAnsi="Public Sans" w:cs="Segoe UI"/>
          <w:b/>
          <w:sz w:val="18"/>
        </w:rPr>
        <w:t>July</w:t>
      </w:r>
      <w:r w:rsidR="00CA111C">
        <w:rPr>
          <w:rFonts w:ascii="Public Sans" w:hAnsi="Public Sans" w:cs="Segoe UI"/>
          <w:b/>
          <w:sz w:val="18"/>
        </w:rPr>
        <w:t>-</w:t>
      </w:r>
      <w:r w:rsidR="002C684D">
        <w:rPr>
          <w:rFonts w:ascii="Public Sans" w:hAnsi="Public Sans" w:cs="Segoe UI"/>
          <w:b/>
          <w:sz w:val="18"/>
        </w:rPr>
        <w:t>Sept</w:t>
      </w:r>
      <w:r w:rsidRPr="00CA111C">
        <w:rPr>
          <w:rFonts w:ascii="Public Sans" w:hAnsi="Public Sans" w:cs="Segoe UI"/>
          <w:b/>
          <w:sz w:val="18"/>
        </w:rPr>
        <w:t xml:space="preserve"> 202</w:t>
      </w:r>
      <w:r w:rsidR="002C684D">
        <w:rPr>
          <w:rFonts w:ascii="Public Sans" w:hAnsi="Public Sans" w:cs="Segoe UI"/>
          <w:b/>
          <w:sz w:val="18"/>
        </w:rPr>
        <w:t>3</w:t>
      </w:r>
    </w:p>
    <w:p w14:paraId="5C735F7C" w14:textId="2B1A5285" w:rsidR="002B6964" w:rsidRPr="005576E4" w:rsidRDefault="002C684D" w:rsidP="003D02E4">
      <w:pPr>
        <w:spacing w:after="0" w:line="240" w:lineRule="auto"/>
        <w:rPr>
          <w:rFonts w:ascii="Public Sans" w:hAnsi="Public Sans" w:cs="Segoe UI"/>
          <w:b/>
          <w:sz w:val="20"/>
        </w:rPr>
      </w:pPr>
      <w:r>
        <w:rPr>
          <w:noProof/>
        </w:rPr>
        <w:drawing>
          <wp:inline distT="0" distB="0" distL="0" distR="0" wp14:anchorId="2BDC748F" wp14:editId="5FDFBE38">
            <wp:extent cx="5953125" cy="2457450"/>
            <wp:effectExtent l="0" t="0" r="9525" b="0"/>
            <wp:docPr id="9" name="Chart 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123085D" w14:textId="77777777" w:rsidR="002B6964" w:rsidRDefault="002B6964" w:rsidP="003D02E4">
      <w:pPr>
        <w:spacing w:after="0" w:line="240" w:lineRule="auto"/>
        <w:rPr>
          <w:rFonts w:ascii="Public Sans" w:hAnsi="Public Sans" w:cs="Segoe UI"/>
          <w:b/>
          <w:sz w:val="20"/>
        </w:rPr>
      </w:pPr>
    </w:p>
    <w:p w14:paraId="4804BC57" w14:textId="77777777" w:rsidR="005214D2" w:rsidRDefault="005214D2" w:rsidP="003D02E4">
      <w:pPr>
        <w:spacing w:after="0" w:line="240" w:lineRule="auto"/>
        <w:rPr>
          <w:rFonts w:ascii="Public Sans" w:hAnsi="Public Sans" w:cs="Segoe UI"/>
          <w:b/>
          <w:sz w:val="20"/>
        </w:rPr>
      </w:pPr>
    </w:p>
    <w:p w14:paraId="78BA264D" w14:textId="77777777" w:rsidR="005214D2" w:rsidRPr="005576E4" w:rsidRDefault="005214D2" w:rsidP="007A4BC6">
      <w:pPr>
        <w:pStyle w:val="Body"/>
        <w:widowControl w:val="0"/>
        <w:spacing w:after="0" w:line="240" w:lineRule="auto"/>
        <w:rPr>
          <w:rFonts w:ascii="Public Sans" w:eastAsia="Helvetica" w:hAnsi="Public Sans" w:cs="Segoe UI"/>
          <w:sz w:val="20"/>
        </w:rPr>
      </w:pPr>
    </w:p>
    <w:p w14:paraId="185C49DE" w14:textId="77777777" w:rsidR="008E3810" w:rsidRPr="00F54F4A" w:rsidRDefault="00E134D4" w:rsidP="007A4BC6">
      <w:pPr>
        <w:pStyle w:val="Heading2"/>
        <w:spacing w:before="0"/>
        <w:rPr>
          <w:rFonts w:ascii="Public Sans" w:hAnsi="Public Sans"/>
          <w:color w:val="auto"/>
        </w:rPr>
      </w:pPr>
      <w:r w:rsidRPr="00F54F4A">
        <w:rPr>
          <w:rFonts w:ascii="Public Sans" w:eastAsia="Helvetica" w:hAnsi="Public Sans"/>
          <w:b/>
          <w:color w:val="auto"/>
        </w:rPr>
        <w:t xml:space="preserve">2.5 </w:t>
      </w:r>
      <w:r w:rsidR="00631A3A" w:rsidRPr="00F54F4A">
        <w:rPr>
          <w:rFonts w:ascii="Public Sans" w:eastAsia="Helvetica" w:hAnsi="Public Sans"/>
          <w:b/>
          <w:color w:val="auto"/>
        </w:rPr>
        <w:tab/>
      </w:r>
      <w:r w:rsidR="00DA6DB3" w:rsidRPr="00F54F4A">
        <w:rPr>
          <w:rFonts w:ascii="Public Sans" w:eastAsia="Helvetica" w:hAnsi="Public Sans"/>
          <w:b/>
          <w:color w:val="auto"/>
        </w:rPr>
        <w:t>Age</w:t>
      </w:r>
    </w:p>
    <w:p w14:paraId="278A80B9" w14:textId="6AB7FAE1" w:rsidR="003D0614" w:rsidRDefault="000E3DCE" w:rsidP="004E332F">
      <w:pPr>
        <w:spacing w:before="120" w:after="0" w:line="240" w:lineRule="auto"/>
        <w:rPr>
          <w:rFonts w:ascii="Public Sans" w:hAnsi="Public Sans" w:cs="Segoe UI"/>
        </w:rPr>
      </w:pPr>
      <w:r>
        <w:rPr>
          <w:rFonts w:ascii="Public Sans" w:hAnsi="Public Sans" w:cs="Segoe UI"/>
        </w:rPr>
        <w:t>T</w:t>
      </w:r>
      <w:r w:rsidR="0023234E" w:rsidRPr="005576E4">
        <w:rPr>
          <w:rFonts w:ascii="Public Sans" w:hAnsi="Public Sans" w:cs="Segoe UI"/>
        </w:rPr>
        <w:t xml:space="preserve">he largest proportion of </w:t>
      </w:r>
      <w:r w:rsidR="00571D1C" w:rsidRPr="005576E4">
        <w:rPr>
          <w:rFonts w:ascii="Public Sans" w:hAnsi="Public Sans" w:cs="Segoe UI"/>
        </w:rPr>
        <w:t xml:space="preserve">the </w:t>
      </w:r>
      <w:r w:rsidR="00F640B9">
        <w:rPr>
          <w:rFonts w:ascii="Public Sans" w:hAnsi="Public Sans" w:cs="Segoe UI"/>
        </w:rPr>
        <w:t>1,025</w:t>
      </w:r>
      <w:r w:rsidR="00571D1C" w:rsidRPr="005576E4">
        <w:rPr>
          <w:rFonts w:ascii="Public Sans" w:hAnsi="Public Sans" w:cs="Segoe UI"/>
        </w:rPr>
        <w:t xml:space="preserve"> </w:t>
      </w:r>
      <w:r w:rsidR="0023234E" w:rsidRPr="005576E4">
        <w:rPr>
          <w:rFonts w:ascii="Public Sans" w:hAnsi="Public Sans" w:cs="Segoe UI"/>
        </w:rPr>
        <w:t xml:space="preserve">reports about older people in </w:t>
      </w:r>
      <w:r w:rsidR="00C3405F">
        <w:rPr>
          <w:rFonts w:ascii="Public Sans" w:hAnsi="Public Sans" w:cs="Segoe UI"/>
        </w:rPr>
        <w:t>J</w:t>
      </w:r>
      <w:r w:rsidR="00F640B9">
        <w:rPr>
          <w:rFonts w:ascii="Public Sans" w:hAnsi="Public Sans" w:cs="Segoe UI"/>
        </w:rPr>
        <w:t>uly</w:t>
      </w:r>
      <w:r w:rsidR="0023234E" w:rsidRPr="005576E4">
        <w:rPr>
          <w:rFonts w:ascii="Public Sans" w:hAnsi="Public Sans" w:cs="Segoe UI"/>
        </w:rPr>
        <w:t xml:space="preserve"> – </w:t>
      </w:r>
      <w:r w:rsidR="00F640B9">
        <w:rPr>
          <w:rFonts w:ascii="Public Sans" w:hAnsi="Public Sans" w:cs="Segoe UI"/>
        </w:rPr>
        <w:t>September</w:t>
      </w:r>
      <w:r w:rsidR="0023234E" w:rsidRPr="005576E4">
        <w:rPr>
          <w:rFonts w:ascii="Public Sans" w:hAnsi="Public Sans" w:cs="Segoe UI"/>
        </w:rPr>
        <w:t xml:space="preserve"> 202</w:t>
      </w:r>
      <w:r w:rsidR="00C3405F">
        <w:rPr>
          <w:rFonts w:ascii="Public Sans" w:hAnsi="Public Sans" w:cs="Segoe UI"/>
        </w:rPr>
        <w:t>3</w:t>
      </w:r>
      <w:r w:rsidR="0023234E" w:rsidRPr="005576E4">
        <w:rPr>
          <w:rFonts w:ascii="Public Sans" w:hAnsi="Public Sans" w:cs="Segoe UI"/>
        </w:rPr>
        <w:t xml:space="preserve"> related to people aged </w:t>
      </w:r>
      <w:r w:rsidR="00992DE2">
        <w:rPr>
          <w:rFonts w:ascii="Public Sans" w:hAnsi="Public Sans" w:cs="Segoe UI"/>
        </w:rPr>
        <w:t>80</w:t>
      </w:r>
      <w:r w:rsidR="0066276A" w:rsidRPr="005576E4">
        <w:rPr>
          <w:rFonts w:ascii="Public Sans" w:hAnsi="Public Sans" w:cs="Segoe UI"/>
        </w:rPr>
        <w:t>-</w:t>
      </w:r>
      <w:r w:rsidR="00992DE2">
        <w:rPr>
          <w:rFonts w:ascii="Public Sans" w:hAnsi="Public Sans" w:cs="Segoe UI"/>
        </w:rPr>
        <w:t>84</w:t>
      </w:r>
      <w:r w:rsidR="0023234E" w:rsidRPr="005576E4">
        <w:rPr>
          <w:rFonts w:ascii="Public Sans" w:hAnsi="Public Sans" w:cs="Segoe UI"/>
        </w:rPr>
        <w:t xml:space="preserve"> years</w:t>
      </w:r>
      <w:r w:rsidR="00DD299A" w:rsidRPr="005576E4">
        <w:rPr>
          <w:rFonts w:ascii="Public Sans" w:hAnsi="Public Sans" w:cs="Segoe UI"/>
        </w:rPr>
        <w:t xml:space="preserve"> (</w:t>
      </w:r>
      <w:r w:rsidR="00C3405F">
        <w:rPr>
          <w:rFonts w:ascii="Public Sans" w:hAnsi="Public Sans" w:cs="Segoe UI"/>
        </w:rPr>
        <w:t>2</w:t>
      </w:r>
      <w:r w:rsidR="00F640B9">
        <w:rPr>
          <w:rFonts w:ascii="Public Sans" w:hAnsi="Public Sans" w:cs="Segoe UI"/>
        </w:rPr>
        <w:t>0.</w:t>
      </w:r>
      <w:r w:rsidR="00C3405F">
        <w:rPr>
          <w:rFonts w:ascii="Public Sans" w:hAnsi="Public Sans" w:cs="Segoe UI"/>
        </w:rPr>
        <w:t>3</w:t>
      </w:r>
      <w:r w:rsidR="00DD299A" w:rsidRPr="005576E4">
        <w:rPr>
          <w:rFonts w:ascii="Public Sans" w:hAnsi="Public Sans" w:cs="Segoe UI"/>
        </w:rPr>
        <w:t>%)</w:t>
      </w:r>
      <w:r w:rsidR="0023234E" w:rsidRPr="005576E4">
        <w:rPr>
          <w:rFonts w:ascii="Public Sans" w:hAnsi="Public Sans" w:cs="Segoe UI"/>
        </w:rPr>
        <w:t xml:space="preserve">. </w:t>
      </w:r>
    </w:p>
    <w:p w14:paraId="07790018" w14:textId="77777777" w:rsidR="003D0614" w:rsidRDefault="003D0614" w:rsidP="003D0614">
      <w:pPr>
        <w:spacing w:after="0" w:line="240" w:lineRule="auto"/>
        <w:rPr>
          <w:rFonts w:ascii="Public Sans" w:hAnsi="Public Sans" w:cs="Segoe UI"/>
        </w:rPr>
      </w:pPr>
    </w:p>
    <w:p w14:paraId="480545C0" w14:textId="2C0749C4" w:rsidR="00223CE4" w:rsidRDefault="00F640B9" w:rsidP="003D0614">
      <w:pPr>
        <w:spacing w:after="0" w:line="240" w:lineRule="auto"/>
        <w:rPr>
          <w:rFonts w:ascii="Public Sans" w:hAnsi="Public Sans" w:cs="Segoe UI"/>
        </w:rPr>
      </w:pPr>
      <w:r>
        <w:rPr>
          <w:rFonts w:ascii="Public Sans" w:hAnsi="Public Sans" w:cs="Segoe UI"/>
        </w:rPr>
        <w:t>T</w:t>
      </w:r>
      <w:r w:rsidR="00C3405F">
        <w:rPr>
          <w:rFonts w:ascii="Public Sans" w:hAnsi="Public Sans" w:cs="Segoe UI"/>
        </w:rPr>
        <w:t xml:space="preserve">he largest proportion of the </w:t>
      </w:r>
      <w:r>
        <w:rPr>
          <w:rFonts w:ascii="Public Sans" w:hAnsi="Public Sans" w:cs="Segoe UI"/>
        </w:rPr>
        <w:t>314</w:t>
      </w:r>
      <w:r w:rsidR="00C3405F">
        <w:rPr>
          <w:rFonts w:ascii="Public Sans" w:hAnsi="Public Sans" w:cs="Segoe UI"/>
        </w:rPr>
        <w:t xml:space="preserve"> reports about adults with disability related to people aged 60-64 years (1</w:t>
      </w:r>
      <w:r>
        <w:rPr>
          <w:rFonts w:ascii="Public Sans" w:hAnsi="Public Sans" w:cs="Segoe UI"/>
        </w:rPr>
        <w:t>7</w:t>
      </w:r>
      <w:r w:rsidR="00C3405F">
        <w:rPr>
          <w:rFonts w:ascii="Public Sans" w:hAnsi="Public Sans" w:cs="Segoe UI"/>
        </w:rPr>
        <w:t xml:space="preserve">.5%). This age group slightly outnumbered reports about people aged </w:t>
      </w:r>
      <w:r w:rsidR="00C103A6" w:rsidRPr="005576E4">
        <w:rPr>
          <w:rFonts w:ascii="Public Sans" w:hAnsi="Public Sans" w:cs="Segoe UI"/>
        </w:rPr>
        <w:t>18-24 years</w:t>
      </w:r>
      <w:r w:rsidR="00C3405F">
        <w:rPr>
          <w:rFonts w:ascii="Public Sans" w:hAnsi="Public Sans" w:cs="Segoe UI"/>
        </w:rPr>
        <w:t xml:space="preserve"> (15.</w:t>
      </w:r>
      <w:r>
        <w:rPr>
          <w:rFonts w:ascii="Public Sans" w:hAnsi="Public Sans" w:cs="Segoe UI"/>
        </w:rPr>
        <w:t>6</w:t>
      </w:r>
      <w:r w:rsidR="00C3405F">
        <w:rPr>
          <w:rFonts w:ascii="Public Sans" w:hAnsi="Public Sans" w:cs="Segoe UI"/>
        </w:rPr>
        <w:t xml:space="preserve">%). </w:t>
      </w:r>
    </w:p>
    <w:p w14:paraId="2EA5BE1E" w14:textId="77777777" w:rsidR="00F640B9" w:rsidRDefault="00F640B9" w:rsidP="003D0614">
      <w:pPr>
        <w:spacing w:after="0" w:line="240" w:lineRule="auto"/>
        <w:rPr>
          <w:rFonts w:ascii="Public Sans" w:hAnsi="Public Sans" w:cs="Segoe UI"/>
        </w:rPr>
      </w:pPr>
    </w:p>
    <w:p w14:paraId="0D51B6F6" w14:textId="77777777" w:rsidR="00223CE4" w:rsidRPr="005576E4" w:rsidRDefault="00223CE4" w:rsidP="007A4BC6">
      <w:pPr>
        <w:spacing w:after="0" w:line="240" w:lineRule="auto"/>
        <w:rPr>
          <w:rFonts w:ascii="Public Sans" w:hAnsi="Public Sans" w:cs="Segoe UI"/>
          <w:b/>
          <w:sz w:val="20"/>
        </w:rPr>
      </w:pPr>
    </w:p>
    <w:p w14:paraId="12E4B78A" w14:textId="41370D83" w:rsidR="00A514ED" w:rsidRDefault="004A4FD0" w:rsidP="004A4FD0">
      <w:pPr>
        <w:spacing w:after="0" w:line="240" w:lineRule="auto"/>
        <w:rPr>
          <w:rFonts w:ascii="Public Sans" w:hAnsi="Public Sans" w:cs="Segoe UI"/>
          <w:b/>
          <w:sz w:val="18"/>
        </w:rPr>
      </w:pPr>
      <w:r w:rsidRPr="00707AF4">
        <w:rPr>
          <w:rFonts w:ascii="Public Sans" w:hAnsi="Public Sans" w:cs="Segoe UI"/>
          <w:b/>
          <w:sz w:val="18"/>
        </w:rPr>
        <w:t>Figure</w:t>
      </w:r>
      <w:r w:rsidR="008E3810" w:rsidRPr="00707AF4">
        <w:rPr>
          <w:rFonts w:ascii="Public Sans" w:hAnsi="Public Sans" w:cs="Segoe UI"/>
          <w:b/>
          <w:sz w:val="18"/>
        </w:rPr>
        <w:t xml:space="preserve"> </w:t>
      </w:r>
      <w:r w:rsidR="00FB00DF" w:rsidRPr="00707AF4">
        <w:rPr>
          <w:rFonts w:ascii="Public Sans" w:hAnsi="Public Sans" w:cs="Segoe UI"/>
          <w:b/>
          <w:sz w:val="18"/>
        </w:rPr>
        <w:t>5</w:t>
      </w:r>
      <w:r w:rsidR="008E3810" w:rsidRPr="00707AF4">
        <w:rPr>
          <w:rFonts w:ascii="Public Sans" w:hAnsi="Public Sans" w:cs="Segoe UI"/>
          <w:b/>
          <w:sz w:val="18"/>
        </w:rPr>
        <w:t xml:space="preserve">: Age of </w:t>
      </w:r>
      <w:r w:rsidR="00613BBE" w:rsidRPr="00707AF4">
        <w:rPr>
          <w:rFonts w:ascii="Public Sans" w:hAnsi="Public Sans" w:cs="Segoe UI"/>
          <w:b/>
          <w:sz w:val="18"/>
        </w:rPr>
        <w:t>older people</w:t>
      </w:r>
      <w:r w:rsidR="008E3810" w:rsidRPr="00707AF4">
        <w:rPr>
          <w:rFonts w:ascii="Public Sans" w:hAnsi="Public Sans" w:cs="Segoe UI"/>
          <w:b/>
          <w:sz w:val="18"/>
        </w:rPr>
        <w:t xml:space="preserve"> the subject of a report to the ADC, </w:t>
      </w:r>
      <w:r w:rsidR="002B1F5C">
        <w:rPr>
          <w:rFonts w:ascii="Public Sans" w:hAnsi="Public Sans" w:cs="Segoe UI"/>
          <w:b/>
          <w:sz w:val="18"/>
        </w:rPr>
        <w:t>J</w:t>
      </w:r>
      <w:r w:rsidR="00F640B9">
        <w:rPr>
          <w:rFonts w:ascii="Public Sans" w:hAnsi="Public Sans" w:cs="Segoe UI"/>
          <w:b/>
          <w:sz w:val="18"/>
        </w:rPr>
        <w:t>uly</w:t>
      </w:r>
      <w:r w:rsidR="002B1F5C">
        <w:rPr>
          <w:rFonts w:ascii="Public Sans" w:hAnsi="Public Sans" w:cs="Segoe UI"/>
          <w:b/>
          <w:sz w:val="18"/>
        </w:rPr>
        <w:t>-</w:t>
      </w:r>
      <w:r w:rsidR="00F640B9">
        <w:rPr>
          <w:rFonts w:ascii="Public Sans" w:hAnsi="Public Sans" w:cs="Segoe UI"/>
          <w:b/>
          <w:sz w:val="18"/>
        </w:rPr>
        <w:t>Sept</w:t>
      </w:r>
      <w:r w:rsidR="0023234E" w:rsidRPr="00707AF4">
        <w:rPr>
          <w:rFonts w:ascii="Public Sans" w:hAnsi="Public Sans" w:cs="Segoe UI"/>
          <w:b/>
          <w:sz w:val="18"/>
        </w:rPr>
        <w:t xml:space="preserve"> 20</w:t>
      </w:r>
      <w:r w:rsidR="008E3810" w:rsidRPr="00707AF4">
        <w:rPr>
          <w:rFonts w:ascii="Public Sans" w:hAnsi="Public Sans" w:cs="Segoe UI"/>
          <w:b/>
          <w:sz w:val="18"/>
        </w:rPr>
        <w:t>2</w:t>
      </w:r>
      <w:r w:rsidR="002B1F5C">
        <w:rPr>
          <w:rFonts w:ascii="Public Sans" w:hAnsi="Public Sans" w:cs="Segoe UI"/>
          <w:b/>
          <w:sz w:val="18"/>
        </w:rPr>
        <w:t>3</w:t>
      </w:r>
    </w:p>
    <w:p w14:paraId="6B61D723" w14:textId="20EE2E2A" w:rsidR="00421E37" w:rsidRPr="00707AF4" w:rsidRDefault="00F640B9" w:rsidP="004A4FD0">
      <w:pPr>
        <w:spacing w:after="0" w:line="240" w:lineRule="auto"/>
        <w:rPr>
          <w:rFonts w:ascii="Public Sans" w:hAnsi="Public Sans" w:cs="Segoe UI"/>
          <w:b/>
          <w:sz w:val="18"/>
        </w:rPr>
      </w:pPr>
      <w:r>
        <w:rPr>
          <w:noProof/>
        </w:rPr>
        <w:drawing>
          <wp:inline distT="0" distB="0" distL="0" distR="0" wp14:anchorId="6C6DCCC8" wp14:editId="2478341C">
            <wp:extent cx="6067425" cy="2743200"/>
            <wp:effectExtent l="0" t="0" r="9525" b="0"/>
            <wp:docPr id="11" name="Chart 1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38747C9" w14:textId="6E1488B9" w:rsidR="008014CA" w:rsidRDefault="008014CA" w:rsidP="004A4FD0">
      <w:pPr>
        <w:spacing w:after="0" w:line="240" w:lineRule="auto"/>
        <w:rPr>
          <w:rFonts w:ascii="Public Sans" w:hAnsi="Public Sans" w:cs="Segoe UI"/>
          <w:b/>
          <w:sz w:val="20"/>
        </w:rPr>
      </w:pPr>
    </w:p>
    <w:p w14:paraId="24CE0430" w14:textId="0E837D55" w:rsidR="002B4DCD" w:rsidRDefault="002B4DCD" w:rsidP="004A4FD0">
      <w:pPr>
        <w:spacing w:after="0" w:line="240" w:lineRule="auto"/>
        <w:rPr>
          <w:rFonts w:ascii="Public Sans" w:hAnsi="Public Sans" w:cs="Segoe UI"/>
          <w:b/>
          <w:sz w:val="20"/>
        </w:rPr>
      </w:pPr>
    </w:p>
    <w:p w14:paraId="656BDBD3" w14:textId="75DD2576" w:rsidR="002B4DCD" w:rsidRDefault="002B4DCD" w:rsidP="004A4FD0">
      <w:pPr>
        <w:spacing w:after="0" w:line="240" w:lineRule="auto"/>
        <w:rPr>
          <w:rFonts w:ascii="Public Sans" w:hAnsi="Public Sans" w:cs="Segoe UI"/>
          <w:b/>
          <w:sz w:val="20"/>
        </w:rPr>
      </w:pPr>
    </w:p>
    <w:p w14:paraId="17D9BD6B" w14:textId="77777777" w:rsidR="009B1133" w:rsidRPr="005576E4" w:rsidRDefault="009B1133" w:rsidP="004A4FD0">
      <w:pPr>
        <w:spacing w:after="0" w:line="240" w:lineRule="auto"/>
        <w:rPr>
          <w:rFonts w:ascii="Public Sans" w:hAnsi="Public Sans" w:cs="Segoe UI"/>
          <w:b/>
          <w:sz w:val="20"/>
        </w:rPr>
      </w:pPr>
    </w:p>
    <w:p w14:paraId="17446BB8" w14:textId="0B23407C" w:rsidR="00A514ED" w:rsidRDefault="004A4FD0" w:rsidP="004A4FD0">
      <w:pPr>
        <w:spacing w:after="0" w:line="240" w:lineRule="auto"/>
        <w:rPr>
          <w:rFonts w:ascii="Public Sans" w:hAnsi="Public Sans" w:cs="Segoe UI"/>
          <w:b/>
          <w:sz w:val="18"/>
        </w:rPr>
      </w:pPr>
      <w:r w:rsidRPr="00707AF4">
        <w:rPr>
          <w:rFonts w:ascii="Public Sans" w:hAnsi="Public Sans" w:cs="Segoe UI"/>
          <w:b/>
          <w:sz w:val="18"/>
        </w:rPr>
        <w:t xml:space="preserve">Figure </w:t>
      </w:r>
      <w:r w:rsidR="00FB00DF" w:rsidRPr="00707AF4">
        <w:rPr>
          <w:rFonts w:ascii="Public Sans" w:hAnsi="Public Sans" w:cs="Segoe UI"/>
          <w:b/>
          <w:sz w:val="18"/>
        </w:rPr>
        <w:t>6</w:t>
      </w:r>
      <w:r w:rsidRPr="00707AF4">
        <w:rPr>
          <w:rFonts w:ascii="Public Sans" w:hAnsi="Public Sans" w:cs="Segoe UI"/>
          <w:b/>
          <w:sz w:val="18"/>
        </w:rPr>
        <w:t xml:space="preserve">: Age of adults with disability the subject of a report to the ADC, </w:t>
      </w:r>
      <w:r w:rsidR="00BD38B3">
        <w:rPr>
          <w:rFonts w:ascii="Public Sans" w:hAnsi="Public Sans" w:cs="Segoe UI"/>
          <w:b/>
          <w:sz w:val="18"/>
        </w:rPr>
        <w:t>J</w:t>
      </w:r>
      <w:r w:rsidR="00F640B9">
        <w:rPr>
          <w:rFonts w:ascii="Public Sans" w:hAnsi="Public Sans" w:cs="Segoe UI"/>
          <w:b/>
          <w:sz w:val="18"/>
        </w:rPr>
        <w:t>uly</w:t>
      </w:r>
      <w:r w:rsidR="00BD38B3">
        <w:rPr>
          <w:rFonts w:ascii="Public Sans" w:hAnsi="Public Sans" w:cs="Segoe UI"/>
          <w:b/>
          <w:sz w:val="18"/>
        </w:rPr>
        <w:t>-</w:t>
      </w:r>
      <w:r w:rsidR="00F640B9">
        <w:rPr>
          <w:rFonts w:ascii="Public Sans" w:hAnsi="Public Sans" w:cs="Segoe UI"/>
          <w:b/>
          <w:sz w:val="18"/>
        </w:rPr>
        <w:t>Sept</w:t>
      </w:r>
      <w:r w:rsidR="00143537" w:rsidRPr="00707AF4">
        <w:rPr>
          <w:rFonts w:ascii="Public Sans" w:hAnsi="Public Sans" w:cs="Segoe UI"/>
          <w:b/>
          <w:sz w:val="18"/>
        </w:rPr>
        <w:t xml:space="preserve"> </w:t>
      </w:r>
      <w:r w:rsidRPr="00707AF4">
        <w:rPr>
          <w:rFonts w:ascii="Public Sans" w:hAnsi="Public Sans" w:cs="Segoe UI"/>
          <w:b/>
          <w:sz w:val="18"/>
        </w:rPr>
        <w:t>202</w:t>
      </w:r>
      <w:r w:rsidR="00BD38B3">
        <w:rPr>
          <w:rFonts w:ascii="Public Sans" w:hAnsi="Public Sans" w:cs="Segoe UI"/>
          <w:b/>
          <w:sz w:val="18"/>
        </w:rPr>
        <w:t>3</w:t>
      </w:r>
    </w:p>
    <w:p w14:paraId="36E52E03" w14:textId="3F131833" w:rsidR="009431E0" w:rsidRDefault="00F640B9" w:rsidP="004A4FD0">
      <w:pPr>
        <w:spacing w:after="0" w:line="240" w:lineRule="auto"/>
        <w:rPr>
          <w:rFonts w:ascii="Public Sans" w:hAnsi="Public Sans" w:cs="Segoe UI"/>
          <w:b/>
          <w:sz w:val="18"/>
        </w:rPr>
      </w:pPr>
      <w:r>
        <w:rPr>
          <w:noProof/>
        </w:rPr>
        <w:drawing>
          <wp:inline distT="0" distB="0" distL="0" distR="0" wp14:anchorId="5A9421FC" wp14:editId="1DB49F9A">
            <wp:extent cx="6105525" cy="2590800"/>
            <wp:effectExtent l="0" t="0" r="9525" b="0"/>
            <wp:docPr id="10" name="Chart 10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122FD76" w14:textId="77777777" w:rsidR="00253901" w:rsidRDefault="00253901" w:rsidP="004A4FD0">
      <w:pPr>
        <w:spacing w:after="0" w:line="240" w:lineRule="auto"/>
        <w:rPr>
          <w:rFonts w:ascii="Public Sans" w:hAnsi="Public Sans" w:cs="Segoe UI"/>
          <w:b/>
          <w:sz w:val="20"/>
        </w:rPr>
      </w:pPr>
    </w:p>
    <w:p w14:paraId="06625F94" w14:textId="03B36D98" w:rsidR="008050BE" w:rsidRDefault="008050BE" w:rsidP="004A4FD0">
      <w:pPr>
        <w:spacing w:after="0" w:line="240" w:lineRule="auto"/>
        <w:rPr>
          <w:rFonts w:ascii="Public Sans" w:hAnsi="Public Sans" w:cs="Segoe UI"/>
          <w:b/>
          <w:sz w:val="20"/>
        </w:rPr>
      </w:pPr>
    </w:p>
    <w:p w14:paraId="15801831" w14:textId="77777777" w:rsidR="00374EA7" w:rsidRDefault="00374EA7" w:rsidP="004A4FD0">
      <w:pPr>
        <w:spacing w:after="0" w:line="240" w:lineRule="auto"/>
        <w:rPr>
          <w:rFonts w:ascii="Public Sans" w:hAnsi="Public Sans" w:cs="Segoe UI"/>
          <w:b/>
          <w:sz w:val="20"/>
        </w:rPr>
      </w:pPr>
    </w:p>
    <w:p w14:paraId="278D5B73" w14:textId="77777777" w:rsidR="00A7657E" w:rsidRPr="000E3DCE" w:rsidRDefault="00E134D4" w:rsidP="007A4BC6">
      <w:pPr>
        <w:pStyle w:val="Heading2"/>
        <w:spacing w:before="0"/>
        <w:rPr>
          <w:rFonts w:ascii="Public Sans" w:eastAsia="Helvetica" w:hAnsi="Public Sans"/>
          <w:b/>
          <w:color w:val="auto"/>
        </w:rPr>
      </w:pPr>
      <w:r w:rsidRPr="000E3DCE">
        <w:rPr>
          <w:rFonts w:ascii="Public Sans" w:eastAsia="Helvetica" w:hAnsi="Public Sans"/>
          <w:b/>
          <w:color w:val="auto"/>
        </w:rPr>
        <w:t xml:space="preserve">2.6 </w:t>
      </w:r>
      <w:r w:rsidR="00631A3A" w:rsidRPr="000E3DCE">
        <w:rPr>
          <w:rFonts w:ascii="Public Sans" w:eastAsia="Helvetica" w:hAnsi="Public Sans"/>
          <w:b/>
          <w:color w:val="auto"/>
        </w:rPr>
        <w:tab/>
      </w:r>
      <w:r w:rsidR="00A7657E" w:rsidRPr="000E254B">
        <w:rPr>
          <w:rFonts w:ascii="Public Sans" w:eastAsia="Helvetica" w:hAnsi="Public Sans"/>
          <w:b/>
          <w:color w:val="auto"/>
        </w:rPr>
        <w:t>Location</w:t>
      </w:r>
      <w:r w:rsidR="009F035E" w:rsidRPr="000E254B">
        <w:rPr>
          <w:rFonts w:ascii="Public Sans" w:eastAsia="Helvetica" w:hAnsi="Public Sans"/>
          <w:b/>
          <w:color w:val="auto"/>
        </w:rPr>
        <w:t xml:space="preserve"> of person</w:t>
      </w:r>
    </w:p>
    <w:p w14:paraId="74FA0B10" w14:textId="3E694358" w:rsidR="00801BB6" w:rsidRDefault="00936332" w:rsidP="00D24FBD">
      <w:pPr>
        <w:spacing w:before="120" w:after="0" w:line="240" w:lineRule="auto"/>
        <w:rPr>
          <w:rFonts w:ascii="Public Sans" w:hAnsi="Public Sans" w:cs="Segoe UI"/>
        </w:rPr>
      </w:pPr>
      <w:r w:rsidRPr="005576E4">
        <w:rPr>
          <w:rFonts w:ascii="Public Sans" w:hAnsi="Public Sans" w:cs="Segoe UI"/>
        </w:rPr>
        <w:t xml:space="preserve">Of the </w:t>
      </w:r>
      <w:r w:rsidR="00671470">
        <w:rPr>
          <w:rFonts w:ascii="Public Sans" w:hAnsi="Public Sans" w:cs="Segoe UI"/>
        </w:rPr>
        <w:t>1,037</w:t>
      </w:r>
      <w:r w:rsidR="002332D4">
        <w:rPr>
          <w:rFonts w:ascii="Public Sans" w:hAnsi="Public Sans" w:cs="Segoe UI"/>
        </w:rPr>
        <w:t xml:space="preserve"> </w:t>
      </w:r>
      <w:r w:rsidRPr="005576E4">
        <w:rPr>
          <w:rFonts w:ascii="Public Sans" w:hAnsi="Public Sans" w:cs="Segoe UI"/>
        </w:rPr>
        <w:t xml:space="preserve">reports </w:t>
      </w:r>
      <w:r w:rsidR="001B1AAB" w:rsidRPr="005576E4">
        <w:rPr>
          <w:rFonts w:ascii="Public Sans" w:hAnsi="Public Sans" w:cs="Segoe UI"/>
        </w:rPr>
        <w:t>to the ADC</w:t>
      </w:r>
      <w:r w:rsidR="00C16F1E" w:rsidRPr="005576E4">
        <w:rPr>
          <w:rFonts w:ascii="Public Sans" w:hAnsi="Public Sans" w:cs="Segoe UI"/>
        </w:rPr>
        <w:t xml:space="preserve"> in </w:t>
      </w:r>
      <w:r w:rsidR="002332D4">
        <w:rPr>
          <w:rFonts w:ascii="Public Sans" w:hAnsi="Public Sans" w:cs="Segoe UI"/>
        </w:rPr>
        <w:t>J</w:t>
      </w:r>
      <w:r w:rsidR="00671470">
        <w:rPr>
          <w:rFonts w:ascii="Public Sans" w:hAnsi="Public Sans" w:cs="Segoe UI"/>
        </w:rPr>
        <w:t>uly</w:t>
      </w:r>
      <w:r w:rsidR="000E3DCE">
        <w:rPr>
          <w:rFonts w:ascii="Public Sans" w:hAnsi="Public Sans" w:cs="Segoe UI"/>
        </w:rPr>
        <w:t xml:space="preserve"> – </w:t>
      </w:r>
      <w:r w:rsidR="00671470">
        <w:rPr>
          <w:rFonts w:ascii="Public Sans" w:hAnsi="Public Sans" w:cs="Segoe UI"/>
        </w:rPr>
        <w:t>September</w:t>
      </w:r>
      <w:r w:rsidR="00C16F1E" w:rsidRPr="005576E4">
        <w:rPr>
          <w:rFonts w:ascii="Public Sans" w:hAnsi="Public Sans" w:cs="Segoe UI"/>
        </w:rPr>
        <w:t xml:space="preserve"> 202</w:t>
      </w:r>
      <w:r w:rsidR="002332D4">
        <w:rPr>
          <w:rFonts w:ascii="Public Sans" w:hAnsi="Public Sans" w:cs="Segoe UI"/>
        </w:rPr>
        <w:t>3</w:t>
      </w:r>
      <w:r w:rsidR="001B1AAB" w:rsidRPr="005576E4">
        <w:rPr>
          <w:rFonts w:ascii="Public Sans" w:hAnsi="Public Sans" w:cs="Segoe UI"/>
        </w:rPr>
        <w:t xml:space="preserve"> </w:t>
      </w:r>
      <w:r w:rsidRPr="005576E4">
        <w:rPr>
          <w:rFonts w:ascii="Public Sans" w:hAnsi="Public Sans" w:cs="Segoe UI"/>
        </w:rPr>
        <w:t xml:space="preserve">in which the location of the person was known, </w:t>
      </w:r>
      <w:r w:rsidR="000E3DCE">
        <w:rPr>
          <w:rFonts w:ascii="Public Sans" w:hAnsi="Public Sans" w:cs="Segoe UI"/>
        </w:rPr>
        <w:t xml:space="preserve">regional </w:t>
      </w:r>
      <w:r w:rsidR="00C16F1E" w:rsidRPr="005576E4">
        <w:rPr>
          <w:rFonts w:ascii="Public Sans" w:hAnsi="Public Sans" w:cs="Segoe UI"/>
        </w:rPr>
        <w:t>NSW</w:t>
      </w:r>
      <w:r w:rsidR="00801BB6" w:rsidRPr="005576E4">
        <w:rPr>
          <w:rFonts w:ascii="Public Sans" w:hAnsi="Public Sans" w:cs="Segoe UI"/>
        </w:rPr>
        <w:t xml:space="preserve"> </w:t>
      </w:r>
      <w:r w:rsidRPr="005576E4">
        <w:rPr>
          <w:rFonts w:ascii="Public Sans" w:hAnsi="Public Sans" w:cs="Segoe UI"/>
        </w:rPr>
        <w:t>accounted fo</w:t>
      </w:r>
      <w:r w:rsidR="001B1AAB" w:rsidRPr="005576E4">
        <w:rPr>
          <w:rFonts w:ascii="Public Sans" w:hAnsi="Public Sans" w:cs="Segoe UI"/>
        </w:rPr>
        <w:t xml:space="preserve">r </w:t>
      </w:r>
      <w:r w:rsidR="006135A6" w:rsidRPr="005576E4">
        <w:rPr>
          <w:rFonts w:ascii="Public Sans" w:hAnsi="Public Sans" w:cs="Segoe UI"/>
        </w:rPr>
        <w:t xml:space="preserve">just </w:t>
      </w:r>
      <w:r w:rsidR="004B6977">
        <w:rPr>
          <w:rFonts w:ascii="Public Sans" w:hAnsi="Public Sans" w:cs="Segoe UI"/>
        </w:rPr>
        <w:t>over</w:t>
      </w:r>
      <w:r w:rsidR="00370E0A" w:rsidRPr="005576E4">
        <w:rPr>
          <w:rFonts w:ascii="Public Sans" w:hAnsi="Public Sans" w:cs="Segoe UI"/>
        </w:rPr>
        <w:t xml:space="preserve"> </w:t>
      </w:r>
      <w:r w:rsidR="001B1AAB" w:rsidRPr="005576E4">
        <w:rPr>
          <w:rFonts w:ascii="Public Sans" w:hAnsi="Public Sans" w:cs="Segoe UI"/>
        </w:rPr>
        <w:t>half of the reports</w:t>
      </w:r>
      <w:r w:rsidRPr="005576E4">
        <w:rPr>
          <w:rFonts w:ascii="Public Sans" w:hAnsi="Public Sans" w:cs="Segoe UI"/>
        </w:rPr>
        <w:t xml:space="preserve"> (</w:t>
      </w:r>
      <w:r w:rsidR="00671470">
        <w:rPr>
          <w:rFonts w:ascii="Public Sans" w:hAnsi="Public Sans" w:cs="Segoe UI"/>
        </w:rPr>
        <w:t>538</w:t>
      </w:r>
      <w:r w:rsidRPr="005576E4">
        <w:rPr>
          <w:rFonts w:ascii="Public Sans" w:hAnsi="Public Sans" w:cs="Segoe UI"/>
        </w:rPr>
        <w:t xml:space="preserve">; </w:t>
      </w:r>
      <w:r w:rsidR="002A564E">
        <w:rPr>
          <w:rFonts w:ascii="Public Sans" w:hAnsi="Public Sans" w:cs="Segoe UI"/>
        </w:rPr>
        <w:t>5</w:t>
      </w:r>
      <w:r w:rsidR="00B33ADC">
        <w:rPr>
          <w:rFonts w:ascii="Public Sans" w:hAnsi="Public Sans" w:cs="Segoe UI"/>
        </w:rPr>
        <w:t>1</w:t>
      </w:r>
      <w:r w:rsidR="004B6977">
        <w:rPr>
          <w:rFonts w:ascii="Public Sans" w:hAnsi="Public Sans" w:cs="Segoe UI"/>
        </w:rPr>
        <w:t>.</w:t>
      </w:r>
      <w:r w:rsidR="00671470">
        <w:rPr>
          <w:rFonts w:ascii="Public Sans" w:hAnsi="Public Sans" w:cs="Segoe UI"/>
        </w:rPr>
        <w:t>9</w:t>
      </w:r>
      <w:r w:rsidRPr="005576E4">
        <w:rPr>
          <w:rFonts w:ascii="Public Sans" w:hAnsi="Public Sans" w:cs="Segoe UI"/>
        </w:rPr>
        <w:t xml:space="preserve">%). </w:t>
      </w:r>
      <w:r w:rsidR="00671470">
        <w:rPr>
          <w:rFonts w:ascii="Public Sans" w:hAnsi="Public Sans" w:cs="Segoe UI"/>
        </w:rPr>
        <w:t xml:space="preserve">The largest proportion of reports were about adults </w:t>
      </w:r>
      <w:r w:rsidR="000E254B">
        <w:rPr>
          <w:rFonts w:ascii="Public Sans" w:hAnsi="Public Sans" w:cs="Segoe UI"/>
        </w:rPr>
        <w:t xml:space="preserve">living </w:t>
      </w:r>
      <w:r w:rsidR="00671470">
        <w:rPr>
          <w:rFonts w:ascii="Public Sans" w:hAnsi="Public Sans" w:cs="Segoe UI"/>
        </w:rPr>
        <w:t xml:space="preserve">in </w:t>
      </w:r>
      <w:proofErr w:type="gramStart"/>
      <w:r w:rsidR="00671470">
        <w:rPr>
          <w:rFonts w:ascii="Public Sans" w:hAnsi="Public Sans" w:cs="Segoe UI"/>
        </w:rPr>
        <w:t>South East</w:t>
      </w:r>
      <w:proofErr w:type="gramEnd"/>
      <w:r w:rsidR="00671470">
        <w:rPr>
          <w:rFonts w:ascii="Public Sans" w:hAnsi="Public Sans" w:cs="Segoe UI"/>
        </w:rPr>
        <w:t xml:space="preserve"> Sydney (10.6%) and South West Sydney (10%)</w:t>
      </w:r>
      <w:r w:rsidRPr="005576E4">
        <w:rPr>
          <w:rFonts w:ascii="Public Sans" w:hAnsi="Public Sans" w:cs="Segoe UI"/>
        </w:rPr>
        <w:t>.</w:t>
      </w:r>
      <w:r w:rsidR="00983CC4" w:rsidRPr="005576E4">
        <w:rPr>
          <w:rFonts w:ascii="Public Sans" w:hAnsi="Public Sans" w:cs="Segoe UI"/>
        </w:rPr>
        <w:t xml:space="preserve"> </w:t>
      </w:r>
    </w:p>
    <w:p w14:paraId="704D1462" w14:textId="77777777" w:rsidR="00253901" w:rsidRPr="005576E4" w:rsidRDefault="00253901" w:rsidP="00230D97">
      <w:pPr>
        <w:spacing w:after="0" w:line="240" w:lineRule="auto"/>
        <w:rPr>
          <w:rFonts w:ascii="Public Sans" w:hAnsi="Public Sans" w:cs="Segoe UI"/>
        </w:rPr>
      </w:pPr>
    </w:p>
    <w:p w14:paraId="5813DE60" w14:textId="3D676AA6" w:rsidR="009F035E" w:rsidRDefault="004A4FD0" w:rsidP="007A4BC6">
      <w:pPr>
        <w:spacing w:after="0" w:line="240" w:lineRule="auto"/>
        <w:rPr>
          <w:rFonts w:ascii="Public Sans" w:hAnsi="Public Sans" w:cs="Segoe UI"/>
          <w:b/>
          <w:sz w:val="18"/>
        </w:rPr>
      </w:pPr>
      <w:r w:rsidRPr="00D24FBD">
        <w:rPr>
          <w:rFonts w:ascii="Public Sans" w:hAnsi="Public Sans" w:cs="Segoe UI"/>
          <w:b/>
          <w:sz w:val="18"/>
        </w:rPr>
        <w:t>Figure</w:t>
      </w:r>
      <w:r w:rsidR="009F035E" w:rsidRPr="00D24FBD">
        <w:rPr>
          <w:rFonts w:ascii="Public Sans" w:hAnsi="Public Sans" w:cs="Segoe UI"/>
          <w:b/>
          <w:sz w:val="18"/>
        </w:rPr>
        <w:t xml:space="preserve"> </w:t>
      </w:r>
      <w:r w:rsidR="00FB00DF" w:rsidRPr="00D24FBD">
        <w:rPr>
          <w:rFonts w:ascii="Public Sans" w:hAnsi="Public Sans" w:cs="Segoe UI"/>
          <w:b/>
          <w:sz w:val="18"/>
        </w:rPr>
        <w:t>7</w:t>
      </w:r>
      <w:r w:rsidR="009F035E" w:rsidRPr="00D24FBD">
        <w:rPr>
          <w:rFonts w:ascii="Public Sans" w:hAnsi="Public Sans" w:cs="Segoe UI"/>
          <w:b/>
          <w:sz w:val="18"/>
        </w:rPr>
        <w:t xml:space="preserve">: </w:t>
      </w:r>
      <w:r w:rsidR="008E3810" w:rsidRPr="00D24FBD">
        <w:rPr>
          <w:rFonts w:ascii="Public Sans" w:hAnsi="Public Sans" w:cs="Segoe UI"/>
          <w:b/>
          <w:sz w:val="18"/>
        </w:rPr>
        <w:t>Location of person the subject of a r</w:t>
      </w:r>
      <w:r w:rsidR="009F035E" w:rsidRPr="00D24FBD">
        <w:rPr>
          <w:rFonts w:ascii="Public Sans" w:hAnsi="Public Sans" w:cs="Segoe UI"/>
          <w:b/>
          <w:sz w:val="18"/>
        </w:rPr>
        <w:t xml:space="preserve">eport to the ADC by NSW region, </w:t>
      </w:r>
      <w:r w:rsidR="00B33ADC">
        <w:rPr>
          <w:rFonts w:ascii="Public Sans" w:hAnsi="Public Sans" w:cs="Segoe UI"/>
          <w:b/>
          <w:sz w:val="18"/>
        </w:rPr>
        <w:t>J</w:t>
      </w:r>
      <w:r w:rsidR="00671470">
        <w:rPr>
          <w:rFonts w:ascii="Public Sans" w:hAnsi="Public Sans" w:cs="Segoe UI"/>
          <w:b/>
          <w:sz w:val="18"/>
        </w:rPr>
        <w:t>uly</w:t>
      </w:r>
      <w:r w:rsidR="00B33ADC">
        <w:rPr>
          <w:rFonts w:ascii="Public Sans" w:hAnsi="Public Sans" w:cs="Segoe UI"/>
          <w:b/>
          <w:sz w:val="18"/>
        </w:rPr>
        <w:t>-</w:t>
      </w:r>
      <w:r w:rsidR="00671470">
        <w:rPr>
          <w:rFonts w:ascii="Public Sans" w:hAnsi="Public Sans" w:cs="Segoe UI"/>
          <w:b/>
          <w:sz w:val="18"/>
        </w:rPr>
        <w:t>Sept</w:t>
      </w:r>
      <w:r w:rsidR="00991047" w:rsidRPr="00D24FBD">
        <w:rPr>
          <w:rFonts w:ascii="Public Sans" w:hAnsi="Public Sans" w:cs="Segoe UI"/>
          <w:b/>
          <w:sz w:val="18"/>
        </w:rPr>
        <w:t xml:space="preserve"> 202</w:t>
      </w:r>
      <w:r w:rsidR="00B33ADC">
        <w:rPr>
          <w:rFonts w:ascii="Public Sans" w:hAnsi="Public Sans" w:cs="Segoe UI"/>
          <w:b/>
          <w:sz w:val="18"/>
        </w:rPr>
        <w:t>3</w:t>
      </w:r>
    </w:p>
    <w:p w14:paraId="0D46DC93" w14:textId="5C255AC4" w:rsidR="002A564E" w:rsidRDefault="00671470" w:rsidP="007A4BC6">
      <w:pPr>
        <w:spacing w:after="0" w:line="240" w:lineRule="auto"/>
        <w:rPr>
          <w:rFonts w:ascii="Public Sans" w:hAnsi="Public Sans" w:cs="Segoe UI"/>
          <w:b/>
          <w:sz w:val="18"/>
        </w:rPr>
      </w:pPr>
      <w:r>
        <w:rPr>
          <w:noProof/>
        </w:rPr>
        <w:drawing>
          <wp:inline distT="0" distB="0" distL="0" distR="0" wp14:anchorId="2017F409" wp14:editId="35CAC14A">
            <wp:extent cx="6057900" cy="3209925"/>
            <wp:effectExtent l="0" t="0" r="0" b="9525"/>
            <wp:docPr id="14" name="Chart 1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D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288A2C1" w14:textId="77777777" w:rsidR="002A564E" w:rsidRDefault="002A564E" w:rsidP="007A4BC6">
      <w:pPr>
        <w:spacing w:after="0" w:line="240" w:lineRule="auto"/>
        <w:rPr>
          <w:rFonts w:ascii="Public Sans" w:hAnsi="Public Sans" w:cs="Segoe UI"/>
          <w:b/>
          <w:sz w:val="18"/>
        </w:rPr>
      </w:pPr>
    </w:p>
    <w:p w14:paraId="7ED8BE85" w14:textId="34B2B8CC" w:rsidR="002A564E" w:rsidRDefault="002A564E" w:rsidP="007A4BC6">
      <w:pPr>
        <w:spacing w:after="0" w:line="240" w:lineRule="auto"/>
        <w:rPr>
          <w:rFonts w:ascii="Public Sans" w:hAnsi="Public Sans" w:cs="Segoe UI"/>
          <w:b/>
          <w:sz w:val="18"/>
        </w:rPr>
      </w:pPr>
    </w:p>
    <w:p w14:paraId="47683483" w14:textId="68C367E6" w:rsidR="00374EA7" w:rsidRDefault="00374EA7" w:rsidP="007A4BC6">
      <w:pPr>
        <w:spacing w:after="0" w:line="240" w:lineRule="auto"/>
        <w:rPr>
          <w:rFonts w:ascii="Public Sans" w:hAnsi="Public Sans" w:cs="Segoe UI"/>
          <w:b/>
          <w:sz w:val="18"/>
        </w:rPr>
      </w:pPr>
    </w:p>
    <w:p w14:paraId="3748EACA" w14:textId="72A081C6" w:rsidR="006C15AD" w:rsidRPr="00882203" w:rsidRDefault="006135A6" w:rsidP="007A4BC6">
      <w:pPr>
        <w:spacing w:after="0" w:line="240" w:lineRule="auto"/>
        <w:rPr>
          <w:rFonts w:ascii="Public Sans" w:hAnsi="Public Sans"/>
          <w:noProof/>
          <w:lang w:eastAsia="en-AU"/>
        </w:rPr>
      </w:pPr>
      <w:r w:rsidRPr="003C20DC">
        <w:rPr>
          <w:rFonts w:ascii="Public Sans" w:hAnsi="Public Sans"/>
        </w:rPr>
        <w:t>At a Local Government Area (LGA) level, the</w:t>
      </w:r>
      <w:r w:rsidRPr="00882203">
        <w:rPr>
          <w:rFonts w:ascii="Public Sans" w:hAnsi="Public Sans"/>
        </w:rPr>
        <w:t xml:space="preserve"> adults who were the subjects of a report to the ADC in </w:t>
      </w:r>
      <w:r w:rsidR="00822D81" w:rsidRPr="00882203">
        <w:rPr>
          <w:rFonts w:ascii="Public Sans" w:hAnsi="Public Sans"/>
        </w:rPr>
        <w:t>J</w:t>
      </w:r>
      <w:r w:rsidR="000E254B">
        <w:rPr>
          <w:rFonts w:ascii="Public Sans" w:hAnsi="Public Sans"/>
        </w:rPr>
        <w:t>uly</w:t>
      </w:r>
      <w:r w:rsidRPr="00882203">
        <w:rPr>
          <w:rFonts w:ascii="Public Sans" w:hAnsi="Public Sans"/>
        </w:rPr>
        <w:t xml:space="preserve"> – </w:t>
      </w:r>
      <w:r w:rsidR="000E254B">
        <w:rPr>
          <w:rFonts w:ascii="Public Sans" w:hAnsi="Public Sans"/>
        </w:rPr>
        <w:t>September</w:t>
      </w:r>
      <w:r w:rsidRPr="00882203">
        <w:rPr>
          <w:rFonts w:ascii="Public Sans" w:hAnsi="Public Sans"/>
        </w:rPr>
        <w:t xml:space="preserve"> 202</w:t>
      </w:r>
      <w:r w:rsidR="00822D81" w:rsidRPr="00882203">
        <w:rPr>
          <w:rFonts w:ascii="Public Sans" w:hAnsi="Public Sans"/>
        </w:rPr>
        <w:t>3</w:t>
      </w:r>
      <w:r w:rsidRPr="00882203">
        <w:rPr>
          <w:rFonts w:ascii="Public Sans" w:hAnsi="Public Sans"/>
        </w:rPr>
        <w:t xml:space="preserve"> </w:t>
      </w:r>
      <w:proofErr w:type="gramStart"/>
      <w:r w:rsidRPr="00882203">
        <w:rPr>
          <w:rFonts w:ascii="Public Sans" w:hAnsi="Public Sans"/>
        </w:rPr>
        <w:t>most commonly lived</w:t>
      </w:r>
      <w:proofErr w:type="gramEnd"/>
      <w:r w:rsidRPr="00882203">
        <w:rPr>
          <w:rFonts w:ascii="Public Sans" w:hAnsi="Public Sans"/>
        </w:rPr>
        <w:t xml:space="preserve"> in the </w:t>
      </w:r>
      <w:r w:rsidR="00904AE1" w:rsidRPr="00882203">
        <w:rPr>
          <w:rFonts w:ascii="Public Sans" w:hAnsi="Public Sans"/>
        </w:rPr>
        <w:t xml:space="preserve">Central Coast, </w:t>
      </w:r>
      <w:r w:rsidR="00882203">
        <w:rPr>
          <w:rFonts w:ascii="Public Sans" w:hAnsi="Public Sans"/>
        </w:rPr>
        <w:t xml:space="preserve">Wollongong and </w:t>
      </w:r>
      <w:r w:rsidR="004B5BC7" w:rsidRPr="00882203">
        <w:rPr>
          <w:rFonts w:ascii="Public Sans" w:hAnsi="Public Sans"/>
        </w:rPr>
        <w:t>Blacktown</w:t>
      </w:r>
      <w:r w:rsidRPr="00882203">
        <w:rPr>
          <w:rFonts w:ascii="Public Sans" w:hAnsi="Public Sans"/>
        </w:rPr>
        <w:t xml:space="preserve"> LGAs.</w:t>
      </w:r>
    </w:p>
    <w:p w14:paraId="036417DC" w14:textId="60029244" w:rsidR="001A5FB2" w:rsidRDefault="001A5FB2" w:rsidP="007A4BC6">
      <w:pPr>
        <w:spacing w:after="0" w:line="240" w:lineRule="auto"/>
        <w:rPr>
          <w:rFonts w:ascii="Public Sans" w:hAnsi="Public Sans"/>
          <w:noProof/>
          <w:lang w:eastAsia="en-AU"/>
        </w:rPr>
      </w:pPr>
    </w:p>
    <w:p w14:paraId="5DB21F41" w14:textId="1565F7AD" w:rsidR="00374EA7" w:rsidRDefault="00374EA7" w:rsidP="007A4BC6">
      <w:pPr>
        <w:spacing w:after="0" w:line="240" w:lineRule="auto"/>
        <w:rPr>
          <w:rFonts w:ascii="Public Sans" w:hAnsi="Public Sans"/>
          <w:noProof/>
          <w:lang w:eastAsia="en-AU"/>
        </w:rPr>
      </w:pPr>
    </w:p>
    <w:p w14:paraId="03DB7361" w14:textId="77777777" w:rsidR="00374EA7" w:rsidRPr="00882203" w:rsidRDefault="00374EA7" w:rsidP="007A4BC6">
      <w:pPr>
        <w:spacing w:after="0" w:line="240" w:lineRule="auto"/>
        <w:rPr>
          <w:rFonts w:ascii="Public Sans" w:hAnsi="Public Sans"/>
          <w:noProof/>
          <w:lang w:eastAsia="en-AU"/>
        </w:rPr>
      </w:pPr>
    </w:p>
    <w:p w14:paraId="31F4098C" w14:textId="06702349" w:rsidR="001E1198" w:rsidRPr="006853E7" w:rsidRDefault="00CF7837" w:rsidP="001E1198">
      <w:pPr>
        <w:spacing w:after="0" w:line="240" w:lineRule="auto"/>
        <w:rPr>
          <w:rFonts w:ascii="Public Sans" w:hAnsi="Public Sans" w:cs="Segoe UI"/>
          <w:b/>
          <w:sz w:val="18"/>
        </w:rPr>
      </w:pPr>
      <w:r w:rsidRPr="00882203">
        <w:rPr>
          <w:rFonts w:ascii="Public Sans" w:hAnsi="Public Sans" w:cs="Segoe UI"/>
          <w:b/>
          <w:sz w:val="18"/>
        </w:rPr>
        <w:lastRenderedPageBreak/>
        <w:t>Table</w:t>
      </w:r>
      <w:r w:rsidR="001E1198" w:rsidRPr="00882203">
        <w:rPr>
          <w:rFonts w:ascii="Public Sans" w:hAnsi="Public Sans" w:cs="Segoe UI"/>
          <w:b/>
          <w:sz w:val="18"/>
        </w:rPr>
        <w:t xml:space="preserve"> </w:t>
      </w:r>
      <w:r w:rsidRPr="00882203">
        <w:rPr>
          <w:rFonts w:ascii="Public Sans" w:hAnsi="Public Sans" w:cs="Segoe UI"/>
          <w:b/>
          <w:sz w:val="18"/>
        </w:rPr>
        <w:t>4</w:t>
      </w:r>
      <w:r w:rsidR="001E1198" w:rsidRPr="00882203">
        <w:rPr>
          <w:rFonts w:ascii="Public Sans" w:hAnsi="Public Sans" w:cs="Segoe UI"/>
          <w:b/>
          <w:sz w:val="18"/>
        </w:rPr>
        <w:t xml:space="preserve">: Main LGAs of </w:t>
      </w:r>
      <w:r w:rsidR="00983BDF" w:rsidRPr="00882203">
        <w:rPr>
          <w:rFonts w:ascii="Public Sans" w:hAnsi="Public Sans" w:cs="Segoe UI"/>
          <w:b/>
          <w:sz w:val="18"/>
        </w:rPr>
        <w:t>people</w:t>
      </w:r>
      <w:r w:rsidR="001E1198" w:rsidRPr="00882203">
        <w:rPr>
          <w:rFonts w:ascii="Public Sans" w:hAnsi="Public Sans" w:cs="Segoe UI"/>
          <w:b/>
          <w:sz w:val="18"/>
        </w:rPr>
        <w:t xml:space="preserve"> who were the subject of a report to the ADC, </w:t>
      </w:r>
      <w:r w:rsidR="00882203" w:rsidRPr="00882203">
        <w:rPr>
          <w:rFonts w:ascii="Public Sans" w:hAnsi="Public Sans" w:cs="Segoe UI"/>
          <w:b/>
          <w:sz w:val="18"/>
        </w:rPr>
        <w:t>J</w:t>
      </w:r>
      <w:r w:rsidR="003C20DC">
        <w:rPr>
          <w:rFonts w:ascii="Public Sans" w:hAnsi="Public Sans" w:cs="Segoe UI"/>
          <w:b/>
          <w:sz w:val="18"/>
        </w:rPr>
        <w:t>uly</w:t>
      </w:r>
      <w:r w:rsidR="00882203" w:rsidRPr="00882203">
        <w:rPr>
          <w:rFonts w:ascii="Public Sans" w:hAnsi="Public Sans" w:cs="Segoe UI"/>
          <w:b/>
          <w:sz w:val="18"/>
        </w:rPr>
        <w:t>-</w:t>
      </w:r>
      <w:r w:rsidR="003C20DC">
        <w:rPr>
          <w:rFonts w:ascii="Public Sans" w:hAnsi="Public Sans" w:cs="Segoe UI"/>
          <w:b/>
          <w:sz w:val="18"/>
        </w:rPr>
        <w:t>Sept</w:t>
      </w:r>
      <w:r w:rsidR="001E1198" w:rsidRPr="00882203">
        <w:rPr>
          <w:rFonts w:ascii="Public Sans" w:hAnsi="Public Sans" w:cs="Segoe UI"/>
          <w:b/>
          <w:sz w:val="18"/>
        </w:rPr>
        <w:t xml:space="preserve"> 202</w:t>
      </w:r>
      <w:r w:rsidR="00882203" w:rsidRPr="00882203">
        <w:rPr>
          <w:rFonts w:ascii="Public Sans" w:hAnsi="Public Sans" w:cs="Segoe UI"/>
          <w:b/>
          <w:sz w:val="18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1984"/>
      </w:tblGrid>
      <w:tr w:rsidR="00013696" w:rsidRPr="005576E4" w14:paraId="3D46C757" w14:textId="77777777" w:rsidTr="00374EA7">
        <w:tc>
          <w:tcPr>
            <w:tcW w:w="562" w:type="dxa"/>
            <w:shd w:val="clear" w:color="auto" w:fill="A5CCDF"/>
          </w:tcPr>
          <w:p w14:paraId="7A1F034B" w14:textId="77777777" w:rsidR="00013696" w:rsidRPr="009A2E70" w:rsidRDefault="00013696" w:rsidP="006135A6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1"/>
                <w:szCs w:val="21"/>
              </w:rPr>
            </w:pPr>
          </w:p>
        </w:tc>
        <w:tc>
          <w:tcPr>
            <w:tcW w:w="3261" w:type="dxa"/>
            <w:shd w:val="clear" w:color="auto" w:fill="A5CCDF"/>
          </w:tcPr>
          <w:p w14:paraId="12CE405F" w14:textId="77777777" w:rsidR="00013696" w:rsidRPr="009A2E70" w:rsidRDefault="00013696" w:rsidP="006135A6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b/>
                <w:sz w:val="21"/>
                <w:szCs w:val="21"/>
              </w:rPr>
            </w:pPr>
            <w:r w:rsidRPr="009A2E70">
              <w:rPr>
                <w:rFonts w:ascii="Public Sans" w:eastAsia="Helvetica" w:hAnsi="Public Sans" w:cs="Segoe UI"/>
                <w:b/>
                <w:sz w:val="21"/>
                <w:szCs w:val="21"/>
              </w:rPr>
              <w:t>Local Government Area</w:t>
            </w:r>
          </w:p>
        </w:tc>
        <w:tc>
          <w:tcPr>
            <w:tcW w:w="1984" w:type="dxa"/>
            <w:shd w:val="clear" w:color="auto" w:fill="A5CCDF"/>
          </w:tcPr>
          <w:p w14:paraId="0D883430" w14:textId="77777777" w:rsidR="00013696" w:rsidRPr="009A2E70" w:rsidRDefault="00013696" w:rsidP="006135A6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jc w:val="right"/>
              <w:rPr>
                <w:rFonts w:ascii="Public Sans" w:eastAsia="Helvetica" w:hAnsi="Public Sans" w:cs="Segoe UI"/>
                <w:b/>
                <w:sz w:val="21"/>
                <w:szCs w:val="21"/>
              </w:rPr>
            </w:pPr>
            <w:r w:rsidRPr="009A2E70">
              <w:rPr>
                <w:rFonts w:ascii="Public Sans" w:eastAsia="Helvetica" w:hAnsi="Public Sans" w:cs="Segoe UI"/>
                <w:b/>
                <w:sz w:val="21"/>
                <w:szCs w:val="21"/>
              </w:rPr>
              <w:t>Number of cases</w:t>
            </w:r>
          </w:p>
        </w:tc>
      </w:tr>
      <w:tr w:rsidR="00013696" w:rsidRPr="005576E4" w14:paraId="1902D0FE" w14:textId="77777777" w:rsidTr="00374EA7">
        <w:tc>
          <w:tcPr>
            <w:tcW w:w="562" w:type="dxa"/>
          </w:tcPr>
          <w:p w14:paraId="5F5A2D65" w14:textId="77777777" w:rsidR="00013696" w:rsidRPr="009A2E70" w:rsidRDefault="00013696" w:rsidP="006135A6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1"/>
                <w:szCs w:val="21"/>
              </w:rPr>
            </w:pPr>
            <w:r w:rsidRPr="009A2E70">
              <w:rPr>
                <w:rFonts w:ascii="Public Sans" w:eastAsia="Helvetica" w:hAnsi="Public Sans" w:cs="Segoe UI"/>
                <w:sz w:val="21"/>
                <w:szCs w:val="21"/>
              </w:rPr>
              <w:t>1.</w:t>
            </w:r>
          </w:p>
        </w:tc>
        <w:tc>
          <w:tcPr>
            <w:tcW w:w="3261" w:type="dxa"/>
          </w:tcPr>
          <w:p w14:paraId="218C5EE6" w14:textId="77777777" w:rsidR="00013696" w:rsidRPr="009A2E70" w:rsidRDefault="00093702" w:rsidP="006135A6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Central Coast</w:t>
            </w:r>
          </w:p>
        </w:tc>
        <w:tc>
          <w:tcPr>
            <w:tcW w:w="1984" w:type="dxa"/>
          </w:tcPr>
          <w:p w14:paraId="212163EA" w14:textId="5E2CF2B0" w:rsidR="00013696" w:rsidRPr="009A2E70" w:rsidRDefault="003C20DC" w:rsidP="00013696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jc w:val="right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67</w:t>
            </w:r>
          </w:p>
        </w:tc>
      </w:tr>
      <w:tr w:rsidR="00013696" w:rsidRPr="005576E4" w14:paraId="60CFB5E8" w14:textId="77777777" w:rsidTr="00374EA7">
        <w:tc>
          <w:tcPr>
            <w:tcW w:w="562" w:type="dxa"/>
          </w:tcPr>
          <w:p w14:paraId="1C18509B" w14:textId="77777777" w:rsidR="00013696" w:rsidRPr="009A2E70" w:rsidRDefault="00013696" w:rsidP="006135A6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1"/>
                <w:szCs w:val="21"/>
              </w:rPr>
            </w:pPr>
            <w:r w:rsidRPr="009A2E70">
              <w:rPr>
                <w:rFonts w:ascii="Public Sans" w:eastAsia="Helvetica" w:hAnsi="Public Sans" w:cs="Segoe UI"/>
                <w:sz w:val="21"/>
                <w:szCs w:val="21"/>
              </w:rPr>
              <w:t>2.</w:t>
            </w:r>
          </w:p>
        </w:tc>
        <w:tc>
          <w:tcPr>
            <w:tcW w:w="3261" w:type="dxa"/>
          </w:tcPr>
          <w:p w14:paraId="6BD903DA" w14:textId="77777777" w:rsidR="00013696" w:rsidRPr="009A2E70" w:rsidRDefault="00822D81" w:rsidP="006135A6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Wollongong</w:t>
            </w:r>
          </w:p>
        </w:tc>
        <w:tc>
          <w:tcPr>
            <w:tcW w:w="1984" w:type="dxa"/>
          </w:tcPr>
          <w:p w14:paraId="7F75AF36" w14:textId="78E2BA51" w:rsidR="00013696" w:rsidRPr="009A2E70" w:rsidRDefault="003C20DC" w:rsidP="00013696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jc w:val="right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54</w:t>
            </w:r>
          </w:p>
        </w:tc>
      </w:tr>
      <w:tr w:rsidR="00013696" w:rsidRPr="005576E4" w14:paraId="03221509" w14:textId="77777777" w:rsidTr="00374EA7">
        <w:tc>
          <w:tcPr>
            <w:tcW w:w="562" w:type="dxa"/>
          </w:tcPr>
          <w:p w14:paraId="1B8278E6" w14:textId="77777777" w:rsidR="00013696" w:rsidRPr="009A2E70" w:rsidRDefault="00013696" w:rsidP="006135A6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1"/>
                <w:szCs w:val="21"/>
              </w:rPr>
            </w:pPr>
            <w:r w:rsidRPr="009A2E70">
              <w:rPr>
                <w:rFonts w:ascii="Public Sans" w:eastAsia="Helvetica" w:hAnsi="Public Sans" w:cs="Segoe UI"/>
                <w:sz w:val="21"/>
                <w:szCs w:val="21"/>
              </w:rPr>
              <w:t>3.</w:t>
            </w:r>
          </w:p>
        </w:tc>
        <w:tc>
          <w:tcPr>
            <w:tcW w:w="3261" w:type="dxa"/>
          </w:tcPr>
          <w:p w14:paraId="7764CD71" w14:textId="77777777" w:rsidR="00013696" w:rsidRPr="009A2E70" w:rsidRDefault="00822D81" w:rsidP="006135A6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Blacktown</w:t>
            </w:r>
          </w:p>
        </w:tc>
        <w:tc>
          <w:tcPr>
            <w:tcW w:w="1984" w:type="dxa"/>
          </w:tcPr>
          <w:p w14:paraId="712A6999" w14:textId="3EA9D772" w:rsidR="00013696" w:rsidRPr="009A2E70" w:rsidRDefault="003C20DC" w:rsidP="000A67FE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jc w:val="right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53</w:t>
            </w:r>
          </w:p>
        </w:tc>
      </w:tr>
      <w:tr w:rsidR="009310BC" w:rsidRPr="005576E4" w14:paraId="47EC895D" w14:textId="77777777" w:rsidTr="00374EA7">
        <w:tc>
          <w:tcPr>
            <w:tcW w:w="562" w:type="dxa"/>
          </w:tcPr>
          <w:p w14:paraId="4D8DB6E3" w14:textId="77777777" w:rsidR="009310BC" w:rsidRPr="009A2E70" w:rsidRDefault="009310BC" w:rsidP="006135A6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1"/>
                <w:szCs w:val="21"/>
              </w:rPr>
            </w:pPr>
            <w:r w:rsidRPr="009A2E70">
              <w:rPr>
                <w:rFonts w:ascii="Public Sans" w:eastAsia="Helvetica" w:hAnsi="Public Sans" w:cs="Segoe UI"/>
                <w:sz w:val="21"/>
                <w:szCs w:val="21"/>
              </w:rPr>
              <w:t>4.</w:t>
            </w:r>
          </w:p>
        </w:tc>
        <w:tc>
          <w:tcPr>
            <w:tcW w:w="3261" w:type="dxa"/>
          </w:tcPr>
          <w:p w14:paraId="50ADFA48" w14:textId="5A263F13" w:rsidR="009310BC" w:rsidRPr="009A2E70" w:rsidRDefault="003C20DC" w:rsidP="006135A6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 xml:space="preserve">Canterbury-Bankstown </w:t>
            </w:r>
          </w:p>
        </w:tc>
        <w:tc>
          <w:tcPr>
            <w:tcW w:w="1984" w:type="dxa"/>
          </w:tcPr>
          <w:p w14:paraId="3D678881" w14:textId="0DE00C32" w:rsidR="009310BC" w:rsidRPr="009A2E70" w:rsidRDefault="003C20DC" w:rsidP="006135A6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jc w:val="right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37</w:t>
            </w:r>
          </w:p>
        </w:tc>
      </w:tr>
      <w:tr w:rsidR="00013696" w:rsidRPr="005576E4" w14:paraId="7DC803F7" w14:textId="77777777" w:rsidTr="00374EA7">
        <w:tc>
          <w:tcPr>
            <w:tcW w:w="562" w:type="dxa"/>
          </w:tcPr>
          <w:p w14:paraId="585EA015" w14:textId="77777777" w:rsidR="00013696" w:rsidRPr="009A2E70" w:rsidRDefault="000A67FE" w:rsidP="006135A6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5</w:t>
            </w:r>
            <w:r w:rsidR="00013696" w:rsidRPr="009A2E70">
              <w:rPr>
                <w:rFonts w:ascii="Public Sans" w:eastAsia="Helvetica" w:hAnsi="Public Sans" w:cs="Segoe UI"/>
                <w:sz w:val="21"/>
                <w:szCs w:val="21"/>
              </w:rPr>
              <w:t>.</w:t>
            </w:r>
          </w:p>
        </w:tc>
        <w:tc>
          <w:tcPr>
            <w:tcW w:w="3261" w:type="dxa"/>
          </w:tcPr>
          <w:p w14:paraId="413023AA" w14:textId="5B783648" w:rsidR="00013696" w:rsidRPr="009A2E70" w:rsidRDefault="003C20DC" w:rsidP="006135A6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Inner West</w:t>
            </w:r>
          </w:p>
        </w:tc>
        <w:tc>
          <w:tcPr>
            <w:tcW w:w="1984" w:type="dxa"/>
          </w:tcPr>
          <w:p w14:paraId="6ED50905" w14:textId="54A8325A" w:rsidR="00013696" w:rsidRPr="009A2E70" w:rsidRDefault="003C20DC" w:rsidP="000A67FE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jc w:val="right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34</w:t>
            </w:r>
          </w:p>
        </w:tc>
      </w:tr>
      <w:tr w:rsidR="003C20DC" w:rsidRPr="005576E4" w14:paraId="29AB1A4B" w14:textId="77777777" w:rsidTr="00374EA7">
        <w:tc>
          <w:tcPr>
            <w:tcW w:w="562" w:type="dxa"/>
          </w:tcPr>
          <w:p w14:paraId="1B004B38" w14:textId="78D733E2" w:rsidR="003C20DC" w:rsidRDefault="003C20DC" w:rsidP="006135A6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5.</w:t>
            </w:r>
          </w:p>
        </w:tc>
        <w:tc>
          <w:tcPr>
            <w:tcW w:w="3261" w:type="dxa"/>
          </w:tcPr>
          <w:p w14:paraId="75526700" w14:textId="64924321" w:rsidR="003C20DC" w:rsidRDefault="003C20DC" w:rsidP="006135A6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Lake Macquarie</w:t>
            </w:r>
          </w:p>
        </w:tc>
        <w:tc>
          <w:tcPr>
            <w:tcW w:w="1984" w:type="dxa"/>
          </w:tcPr>
          <w:p w14:paraId="75466C06" w14:textId="4B5A5A1B" w:rsidR="003C20DC" w:rsidRDefault="003C20DC" w:rsidP="000A67FE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jc w:val="right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34</w:t>
            </w:r>
          </w:p>
        </w:tc>
      </w:tr>
      <w:tr w:rsidR="00013696" w:rsidRPr="005576E4" w14:paraId="7A8F3D93" w14:textId="77777777" w:rsidTr="00374EA7">
        <w:tc>
          <w:tcPr>
            <w:tcW w:w="562" w:type="dxa"/>
          </w:tcPr>
          <w:p w14:paraId="7D4D245F" w14:textId="3F8BA941" w:rsidR="00013696" w:rsidRPr="009A2E70" w:rsidRDefault="003C20DC" w:rsidP="006135A6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7</w:t>
            </w:r>
            <w:r w:rsidR="00013696" w:rsidRPr="009A2E70">
              <w:rPr>
                <w:rFonts w:ascii="Public Sans" w:eastAsia="Helvetica" w:hAnsi="Public Sans" w:cs="Segoe UI"/>
                <w:sz w:val="21"/>
                <w:szCs w:val="21"/>
              </w:rPr>
              <w:t>.</w:t>
            </w:r>
          </w:p>
        </w:tc>
        <w:tc>
          <w:tcPr>
            <w:tcW w:w="3261" w:type="dxa"/>
          </w:tcPr>
          <w:p w14:paraId="13794447" w14:textId="77777777" w:rsidR="00013696" w:rsidRPr="009A2E70" w:rsidRDefault="00882203" w:rsidP="009310BC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Bayside</w:t>
            </w:r>
          </w:p>
        </w:tc>
        <w:tc>
          <w:tcPr>
            <w:tcW w:w="1984" w:type="dxa"/>
          </w:tcPr>
          <w:p w14:paraId="2E3D23B2" w14:textId="64353F4B" w:rsidR="00013696" w:rsidRPr="009A2E70" w:rsidRDefault="003C20DC" w:rsidP="006135A6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jc w:val="right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31</w:t>
            </w:r>
          </w:p>
        </w:tc>
      </w:tr>
      <w:tr w:rsidR="003C20DC" w:rsidRPr="005576E4" w14:paraId="653C2208" w14:textId="77777777" w:rsidTr="00374EA7">
        <w:tc>
          <w:tcPr>
            <w:tcW w:w="562" w:type="dxa"/>
          </w:tcPr>
          <w:p w14:paraId="24FFE86E" w14:textId="49B1E1A1" w:rsidR="003C20DC" w:rsidRDefault="003C20DC" w:rsidP="006135A6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8.</w:t>
            </w:r>
          </w:p>
        </w:tc>
        <w:tc>
          <w:tcPr>
            <w:tcW w:w="3261" w:type="dxa"/>
          </w:tcPr>
          <w:p w14:paraId="088480E2" w14:textId="749EA8B6" w:rsidR="003C20DC" w:rsidRDefault="003C20DC" w:rsidP="00904AE1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Campbelltown</w:t>
            </w:r>
          </w:p>
        </w:tc>
        <w:tc>
          <w:tcPr>
            <w:tcW w:w="1984" w:type="dxa"/>
          </w:tcPr>
          <w:p w14:paraId="5E510510" w14:textId="7B1AC6AB" w:rsidR="003C20DC" w:rsidRPr="009A2E70" w:rsidRDefault="003C20DC" w:rsidP="006135A6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jc w:val="right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24</w:t>
            </w:r>
          </w:p>
        </w:tc>
      </w:tr>
      <w:tr w:rsidR="00013696" w:rsidRPr="005576E4" w14:paraId="4E8BAD46" w14:textId="77777777" w:rsidTr="00374EA7">
        <w:tc>
          <w:tcPr>
            <w:tcW w:w="562" w:type="dxa"/>
          </w:tcPr>
          <w:p w14:paraId="643A2F67" w14:textId="07C7CA6C" w:rsidR="00013696" w:rsidRPr="009A2E70" w:rsidRDefault="003C20DC" w:rsidP="006135A6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8</w:t>
            </w:r>
            <w:r w:rsidR="00013696" w:rsidRPr="009A2E70">
              <w:rPr>
                <w:rFonts w:ascii="Public Sans" w:eastAsia="Helvetica" w:hAnsi="Public Sans" w:cs="Segoe UI"/>
                <w:sz w:val="21"/>
                <w:szCs w:val="21"/>
              </w:rPr>
              <w:t>.</w:t>
            </w:r>
          </w:p>
        </w:tc>
        <w:tc>
          <w:tcPr>
            <w:tcW w:w="3261" w:type="dxa"/>
          </w:tcPr>
          <w:p w14:paraId="27397E20" w14:textId="77777777" w:rsidR="00013696" w:rsidRPr="009A2E70" w:rsidRDefault="00882203" w:rsidP="00904AE1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Hornsby</w:t>
            </w:r>
          </w:p>
        </w:tc>
        <w:tc>
          <w:tcPr>
            <w:tcW w:w="1984" w:type="dxa"/>
          </w:tcPr>
          <w:p w14:paraId="63A86731" w14:textId="59DE3A48" w:rsidR="00013696" w:rsidRPr="009A2E70" w:rsidRDefault="003C20DC" w:rsidP="006135A6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jc w:val="right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24</w:t>
            </w:r>
          </w:p>
        </w:tc>
      </w:tr>
      <w:tr w:rsidR="00904AE1" w:rsidRPr="005576E4" w14:paraId="5AB73A50" w14:textId="77777777" w:rsidTr="00374EA7">
        <w:tc>
          <w:tcPr>
            <w:tcW w:w="562" w:type="dxa"/>
          </w:tcPr>
          <w:p w14:paraId="2E38EC30" w14:textId="77777777" w:rsidR="00904AE1" w:rsidRDefault="00904AE1" w:rsidP="006135A6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10.</w:t>
            </w:r>
          </w:p>
        </w:tc>
        <w:tc>
          <w:tcPr>
            <w:tcW w:w="3261" w:type="dxa"/>
          </w:tcPr>
          <w:p w14:paraId="58C9B5AB" w14:textId="21A8C726" w:rsidR="00904AE1" w:rsidRDefault="003C20DC" w:rsidP="006135A6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Cumberland</w:t>
            </w:r>
          </w:p>
        </w:tc>
        <w:tc>
          <w:tcPr>
            <w:tcW w:w="1984" w:type="dxa"/>
          </w:tcPr>
          <w:p w14:paraId="4D4B3EDB" w14:textId="2DEB838D" w:rsidR="00904AE1" w:rsidRDefault="003C20DC" w:rsidP="006135A6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jc w:val="right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23</w:t>
            </w:r>
          </w:p>
        </w:tc>
      </w:tr>
    </w:tbl>
    <w:p w14:paraId="5B3CE762" w14:textId="4A858539" w:rsidR="003C20DC" w:rsidRDefault="003C20DC" w:rsidP="007A4BC6">
      <w:pPr>
        <w:spacing w:after="0" w:line="240" w:lineRule="auto"/>
        <w:rPr>
          <w:rFonts w:ascii="Public Sans" w:hAnsi="Public Sans" w:cs="Segoe UI"/>
          <w:b/>
          <w:sz w:val="20"/>
        </w:rPr>
      </w:pPr>
    </w:p>
    <w:p w14:paraId="7F54C7C0" w14:textId="77777777" w:rsidR="003C20DC" w:rsidRPr="005576E4" w:rsidRDefault="003C20DC" w:rsidP="007A4BC6">
      <w:pPr>
        <w:spacing w:after="0" w:line="240" w:lineRule="auto"/>
        <w:rPr>
          <w:rFonts w:ascii="Public Sans" w:hAnsi="Public Sans" w:cs="Segoe UI"/>
          <w:b/>
          <w:sz w:val="20"/>
        </w:rPr>
      </w:pPr>
    </w:p>
    <w:p w14:paraId="6947C9F4" w14:textId="77777777" w:rsidR="0066419B" w:rsidRPr="00DB1BB2" w:rsidRDefault="00E403D8" w:rsidP="007A4BC6">
      <w:pPr>
        <w:pStyle w:val="Heading1"/>
        <w:keepNext w:val="0"/>
        <w:keepLines w:val="0"/>
        <w:widowControl w:val="0"/>
        <w:numPr>
          <w:ilvl w:val="0"/>
          <w:numId w:val="10"/>
        </w:numPr>
        <w:spacing w:before="0" w:after="0"/>
        <w:ind w:left="426" w:hanging="426"/>
        <w:rPr>
          <w:rFonts w:ascii="Public Sans" w:hAnsi="Public Sans" w:cs="Segoe UI"/>
          <w:b/>
          <w:color w:val="auto"/>
        </w:rPr>
      </w:pPr>
      <w:r w:rsidRPr="00DB1BB2">
        <w:rPr>
          <w:rFonts w:ascii="Public Sans" w:hAnsi="Public Sans" w:cs="Segoe UI"/>
          <w:b/>
          <w:color w:val="auto"/>
        </w:rPr>
        <w:t>Reporters</w:t>
      </w:r>
    </w:p>
    <w:p w14:paraId="021B922D" w14:textId="77777777" w:rsidR="00070B5C" w:rsidRPr="00DB1BB2" w:rsidRDefault="00070B5C" w:rsidP="00F6632E">
      <w:pPr>
        <w:pStyle w:val="Heading2"/>
        <w:rPr>
          <w:rFonts w:ascii="Public Sans" w:hAnsi="Public Sans"/>
          <w:b/>
          <w:color w:val="auto"/>
          <w:sz w:val="22"/>
        </w:rPr>
      </w:pPr>
    </w:p>
    <w:p w14:paraId="76C37779" w14:textId="77777777" w:rsidR="00E134D4" w:rsidRPr="00DB1BB2" w:rsidRDefault="00E134D4" w:rsidP="00F6632E">
      <w:pPr>
        <w:pStyle w:val="Heading2"/>
        <w:rPr>
          <w:rFonts w:ascii="Public Sans" w:hAnsi="Public Sans"/>
          <w:b/>
          <w:color w:val="auto"/>
        </w:rPr>
      </w:pPr>
      <w:r w:rsidRPr="00DB1BB2">
        <w:rPr>
          <w:rFonts w:ascii="Public Sans" w:hAnsi="Public Sans"/>
          <w:b/>
          <w:color w:val="auto"/>
        </w:rPr>
        <w:t>3.1 Relationship of reporter to the adult</w:t>
      </w:r>
    </w:p>
    <w:p w14:paraId="43CB66D4" w14:textId="77777777" w:rsidR="003F6016" w:rsidRPr="00DB1BB2" w:rsidRDefault="003F6016" w:rsidP="007A4BC6">
      <w:pPr>
        <w:pStyle w:val="Heading3"/>
        <w:spacing w:before="0"/>
        <w:rPr>
          <w:rFonts w:ascii="Public Sans" w:hAnsi="Public Sans"/>
          <w:b/>
          <w:color w:val="auto"/>
          <w:sz w:val="22"/>
        </w:rPr>
      </w:pPr>
    </w:p>
    <w:p w14:paraId="6D34A5F5" w14:textId="77777777" w:rsidR="00EE0608" w:rsidRPr="005C0C0B" w:rsidRDefault="00EE0608" w:rsidP="007A4BC6">
      <w:pPr>
        <w:pStyle w:val="Heading3"/>
        <w:spacing w:before="0"/>
        <w:rPr>
          <w:rFonts w:ascii="Public Sans" w:hAnsi="Public Sans"/>
          <w:b/>
          <w:color w:val="auto"/>
        </w:rPr>
      </w:pPr>
      <w:r w:rsidRPr="005C0C0B">
        <w:rPr>
          <w:rFonts w:ascii="Public Sans" w:hAnsi="Public Sans"/>
          <w:b/>
          <w:color w:val="auto"/>
        </w:rPr>
        <w:t>Older people</w:t>
      </w:r>
    </w:p>
    <w:p w14:paraId="17CFAB22" w14:textId="59E5D743" w:rsidR="002948C7" w:rsidRPr="005576E4" w:rsidRDefault="00CF6964" w:rsidP="002948C7">
      <w:pPr>
        <w:pStyle w:val="Body"/>
        <w:widowControl w:val="0"/>
        <w:spacing w:before="120" w:after="0" w:line="240" w:lineRule="auto"/>
        <w:rPr>
          <w:rFonts w:ascii="Public Sans" w:eastAsia="Helvetica" w:hAnsi="Public Sans" w:cs="Segoe UI"/>
        </w:rPr>
      </w:pPr>
      <w:r>
        <w:rPr>
          <w:rFonts w:ascii="Public Sans" w:eastAsia="Helvetica" w:hAnsi="Public Sans" w:cs="Segoe UI"/>
        </w:rPr>
        <w:t>Paid workers (</w:t>
      </w:r>
      <w:r w:rsidR="0062174E">
        <w:rPr>
          <w:rFonts w:ascii="Public Sans" w:eastAsia="Helvetica" w:hAnsi="Public Sans" w:cs="Segoe UI"/>
        </w:rPr>
        <w:t>28</w:t>
      </w:r>
      <w:r w:rsidR="009F1E6B">
        <w:rPr>
          <w:rFonts w:ascii="Public Sans" w:eastAsia="Helvetica" w:hAnsi="Public Sans" w:cs="Segoe UI"/>
        </w:rPr>
        <w:t>.</w:t>
      </w:r>
      <w:r w:rsidR="0062174E">
        <w:rPr>
          <w:rFonts w:ascii="Public Sans" w:eastAsia="Helvetica" w:hAnsi="Public Sans" w:cs="Segoe UI"/>
        </w:rPr>
        <w:t>9</w:t>
      </w:r>
      <w:r>
        <w:rPr>
          <w:rFonts w:ascii="Public Sans" w:eastAsia="Helvetica" w:hAnsi="Public Sans" w:cs="Segoe UI"/>
        </w:rPr>
        <w:t>%) and a</w:t>
      </w:r>
      <w:r w:rsidR="00DB1BB2">
        <w:rPr>
          <w:rFonts w:ascii="Public Sans" w:eastAsia="Helvetica" w:hAnsi="Public Sans" w:cs="Segoe UI"/>
        </w:rPr>
        <w:t>dult children</w:t>
      </w:r>
      <w:r w:rsidR="002948C7" w:rsidRPr="005576E4">
        <w:rPr>
          <w:rFonts w:ascii="Public Sans" w:eastAsia="Helvetica" w:hAnsi="Public Sans" w:cs="Segoe UI"/>
        </w:rPr>
        <w:t xml:space="preserve"> (2</w:t>
      </w:r>
      <w:r w:rsidR="0062174E">
        <w:rPr>
          <w:rFonts w:ascii="Public Sans" w:eastAsia="Helvetica" w:hAnsi="Public Sans" w:cs="Segoe UI"/>
        </w:rPr>
        <w:t>5</w:t>
      </w:r>
      <w:r w:rsidR="009F1E6B">
        <w:rPr>
          <w:rFonts w:ascii="Public Sans" w:eastAsia="Helvetica" w:hAnsi="Public Sans" w:cs="Segoe UI"/>
        </w:rPr>
        <w:t>.</w:t>
      </w:r>
      <w:r w:rsidR="0062174E">
        <w:rPr>
          <w:rFonts w:ascii="Public Sans" w:eastAsia="Helvetica" w:hAnsi="Public Sans" w:cs="Segoe UI"/>
        </w:rPr>
        <w:t>7</w:t>
      </w:r>
      <w:r w:rsidR="002948C7" w:rsidRPr="005576E4">
        <w:rPr>
          <w:rFonts w:ascii="Public Sans" w:eastAsia="Helvetica" w:hAnsi="Public Sans" w:cs="Segoe UI"/>
        </w:rPr>
        <w:t xml:space="preserve">%) </w:t>
      </w:r>
      <w:r>
        <w:rPr>
          <w:rFonts w:ascii="Public Sans" w:eastAsia="Helvetica" w:hAnsi="Public Sans" w:cs="Segoe UI"/>
        </w:rPr>
        <w:t>w</w:t>
      </w:r>
      <w:r w:rsidR="002948C7" w:rsidRPr="005576E4">
        <w:rPr>
          <w:rFonts w:ascii="Public Sans" w:eastAsia="Helvetica" w:hAnsi="Public Sans" w:cs="Segoe UI"/>
        </w:rPr>
        <w:t xml:space="preserve">ere the main source of reports to the ADC about older people in </w:t>
      </w:r>
      <w:r w:rsidR="0010548E">
        <w:rPr>
          <w:rFonts w:ascii="Public Sans" w:eastAsia="Helvetica" w:hAnsi="Public Sans" w:cs="Segoe UI"/>
        </w:rPr>
        <w:t>J</w:t>
      </w:r>
      <w:r w:rsidR="0062174E">
        <w:rPr>
          <w:rFonts w:ascii="Public Sans" w:eastAsia="Helvetica" w:hAnsi="Public Sans" w:cs="Segoe UI"/>
        </w:rPr>
        <w:t>uly</w:t>
      </w:r>
      <w:r w:rsidR="002948C7" w:rsidRPr="005576E4">
        <w:rPr>
          <w:rFonts w:ascii="Public Sans" w:eastAsia="Helvetica" w:hAnsi="Public Sans" w:cs="Segoe UI"/>
        </w:rPr>
        <w:t xml:space="preserve"> – </w:t>
      </w:r>
      <w:r w:rsidR="0062174E">
        <w:rPr>
          <w:rFonts w:ascii="Public Sans" w:eastAsia="Helvetica" w:hAnsi="Public Sans" w:cs="Segoe UI"/>
        </w:rPr>
        <w:t>September</w:t>
      </w:r>
      <w:r w:rsidR="002948C7" w:rsidRPr="005576E4">
        <w:rPr>
          <w:rFonts w:ascii="Public Sans" w:eastAsia="Helvetica" w:hAnsi="Public Sans" w:cs="Segoe UI"/>
        </w:rPr>
        <w:t xml:space="preserve"> 202</w:t>
      </w:r>
      <w:r w:rsidR="0010548E">
        <w:rPr>
          <w:rFonts w:ascii="Public Sans" w:eastAsia="Helvetica" w:hAnsi="Public Sans" w:cs="Segoe UI"/>
        </w:rPr>
        <w:t>3</w:t>
      </w:r>
      <w:r w:rsidR="002948C7" w:rsidRPr="005576E4">
        <w:rPr>
          <w:rFonts w:ascii="Public Sans" w:eastAsia="Helvetica" w:hAnsi="Public Sans" w:cs="Segoe UI"/>
        </w:rPr>
        <w:t xml:space="preserve">. Reports by older people (‘person experiencing abuse’) accounted for </w:t>
      </w:r>
      <w:r w:rsidR="00944672">
        <w:rPr>
          <w:rFonts w:ascii="Public Sans" w:eastAsia="Helvetica" w:hAnsi="Public Sans" w:cs="Segoe UI"/>
        </w:rPr>
        <w:t>1</w:t>
      </w:r>
      <w:r>
        <w:rPr>
          <w:rFonts w:ascii="Public Sans" w:eastAsia="Helvetica" w:hAnsi="Public Sans" w:cs="Segoe UI"/>
        </w:rPr>
        <w:t>3</w:t>
      </w:r>
      <w:r w:rsidR="0010548E">
        <w:rPr>
          <w:rFonts w:ascii="Public Sans" w:eastAsia="Helvetica" w:hAnsi="Public Sans" w:cs="Segoe UI"/>
        </w:rPr>
        <w:t>.</w:t>
      </w:r>
      <w:r w:rsidR="0062174E">
        <w:rPr>
          <w:rFonts w:ascii="Public Sans" w:eastAsia="Helvetica" w:hAnsi="Public Sans" w:cs="Segoe UI"/>
        </w:rPr>
        <w:t>7</w:t>
      </w:r>
      <w:r w:rsidR="002948C7" w:rsidRPr="005576E4">
        <w:rPr>
          <w:rFonts w:ascii="Public Sans" w:eastAsia="Helvetica" w:hAnsi="Public Sans" w:cs="Segoe UI"/>
        </w:rPr>
        <w:t xml:space="preserve">% of the </w:t>
      </w:r>
      <w:r w:rsidR="0062174E">
        <w:rPr>
          <w:rFonts w:ascii="Public Sans" w:eastAsia="Helvetica" w:hAnsi="Public Sans" w:cs="Segoe UI"/>
        </w:rPr>
        <w:t>1,025</w:t>
      </w:r>
      <w:r w:rsidR="009F1E6B">
        <w:rPr>
          <w:rFonts w:ascii="Public Sans" w:eastAsia="Helvetica" w:hAnsi="Public Sans" w:cs="Segoe UI"/>
        </w:rPr>
        <w:t xml:space="preserve"> </w:t>
      </w:r>
      <w:r w:rsidR="002948C7" w:rsidRPr="005576E4">
        <w:rPr>
          <w:rFonts w:ascii="Public Sans" w:eastAsia="Helvetica" w:hAnsi="Public Sans" w:cs="Segoe UI"/>
        </w:rPr>
        <w:t xml:space="preserve">reports about older people in this quarter. </w:t>
      </w:r>
    </w:p>
    <w:p w14:paraId="2C59A0F7" w14:textId="77777777" w:rsidR="006E0CE6" w:rsidRPr="005576E4" w:rsidRDefault="006E0CE6" w:rsidP="002948C7">
      <w:pPr>
        <w:pStyle w:val="Body"/>
        <w:widowControl w:val="0"/>
        <w:spacing w:after="0" w:line="240" w:lineRule="auto"/>
        <w:rPr>
          <w:rFonts w:ascii="Public Sans" w:eastAsia="Helvetica" w:hAnsi="Public Sans" w:cs="Segoe UI"/>
          <w:b/>
          <w:sz w:val="20"/>
        </w:rPr>
      </w:pPr>
    </w:p>
    <w:p w14:paraId="0580F854" w14:textId="38B2F9DA" w:rsidR="002948C7" w:rsidRDefault="002948C7" w:rsidP="002948C7">
      <w:pPr>
        <w:pStyle w:val="Body"/>
        <w:widowControl w:val="0"/>
        <w:spacing w:after="0" w:line="240" w:lineRule="auto"/>
        <w:rPr>
          <w:rFonts w:ascii="Public Sans" w:eastAsia="Helvetica" w:hAnsi="Public Sans" w:cs="Segoe UI"/>
          <w:b/>
          <w:sz w:val="18"/>
        </w:rPr>
      </w:pPr>
      <w:r w:rsidRPr="00944672">
        <w:rPr>
          <w:rFonts w:ascii="Public Sans" w:eastAsia="Helvetica" w:hAnsi="Public Sans" w:cs="Segoe UI"/>
          <w:b/>
          <w:sz w:val="18"/>
        </w:rPr>
        <w:t xml:space="preserve">Figure </w:t>
      </w:r>
      <w:r w:rsidR="00234D13" w:rsidRPr="00944672">
        <w:rPr>
          <w:rFonts w:ascii="Public Sans" w:eastAsia="Helvetica" w:hAnsi="Public Sans" w:cs="Segoe UI"/>
          <w:b/>
          <w:sz w:val="18"/>
        </w:rPr>
        <w:t>8</w:t>
      </w:r>
      <w:r w:rsidRPr="00944672">
        <w:rPr>
          <w:rFonts w:ascii="Public Sans" w:eastAsia="Helvetica" w:hAnsi="Public Sans" w:cs="Segoe UI"/>
          <w:b/>
          <w:sz w:val="18"/>
        </w:rPr>
        <w:t xml:space="preserve">: Relationship of reporter to the older person in reports to the ADC, </w:t>
      </w:r>
      <w:r w:rsidR="0010548E">
        <w:rPr>
          <w:rFonts w:ascii="Public Sans" w:eastAsia="Helvetica" w:hAnsi="Public Sans" w:cs="Segoe UI"/>
          <w:b/>
          <w:sz w:val="18"/>
        </w:rPr>
        <w:t>J</w:t>
      </w:r>
      <w:r w:rsidR="0062174E">
        <w:rPr>
          <w:rFonts w:ascii="Public Sans" w:eastAsia="Helvetica" w:hAnsi="Public Sans" w:cs="Segoe UI"/>
          <w:b/>
          <w:sz w:val="18"/>
        </w:rPr>
        <w:t>uly-Sept</w:t>
      </w:r>
      <w:r w:rsidRPr="00944672">
        <w:rPr>
          <w:rFonts w:ascii="Public Sans" w:eastAsia="Helvetica" w:hAnsi="Public Sans" w:cs="Segoe UI"/>
          <w:b/>
          <w:sz w:val="18"/>
        </w:rPr>
        <w:t xml:space="preserve"> 202</w:t>
      </w:r>
      <w:r w:rsidR="0010548E">
        <w:rPr>
          <w:rFonts w:ascii="Public Sans" w:eastAsia="Helvetica" w:hAnsi="Public Sans" w:cs="Segoe UI"/>
          <w:b/>
          <w:sz w:val="18"/>
        </w:rPr>
        <w:t>3</w:t>
      </w:r>
    </w:p>
    <w:p w14:paraId="3FC364C4" w14:textId="67178809" w:rsidR="00E741D6" w:rsidRDefault="0062174E" w:rsidP="002948C7">
      <w:pPr>
        <w:pStyle w:val="Body"/>
        <w:widowControl w:val="0"/>
        <w:spacing w:after="0" w:line="240" w:lineRule="auto"/>
        <w:rPr>
          <w:rFonts w:ascii="Public Sans" w:eastAsia="Helvetica" w:hAnsi="Public Sans" w:cs="Segoe UI"/>
          <w:b/>
          <w:sz w:val="18"/>
        </w:rPr>
      </w:pPr>
      <w:r>
        <w:rPr>
          <w:noProof/>
        </w:rPr>
        <w:drawing>
          <wp:inline distT="0" distB="0" distL="0" distR="0" wp14:anchorId="0CCA9FE8" wp14:editId="55E0A3C9">
            <wp:extent cx="6010275" cy="2876550"/>
            <wp:effectExtent l="0" t="0" r="9525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7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45FD7A29" w14:textId="77777777" w:rsidR="00E741D6" w:rsidRPr="00944672" w:rsidRDefault="00E741D6" w:rsidP="002948C7">
      <w:pPr>
        <w:pStyle w:val="Body"/>
        <w:widowControl w:val="0"/>
        <w:spacing w:after="0" w:line="240" w:lineRule="auto"/>
        <w:rPr>
          <w:rFonts w:ascii="Public Sans" w:eastAsia="Helvetica" w:hAnsi="Public Sans" w:cs="Segoe UI"/>
          <w:b/>
          <w:sz w:val="18"/>
        </w:rPr>
      </w:pPr>
    </w:p>
    <w:p w14:paraId="0E3F23B6" w14:textId="05488390" w:rsidR="001222F2" w:rsidRDefault="001222F2" w:rsidP="00613AF2">
      <w:pPr>
        <w:spacing w:after="0"/>
      </w:pPr>
    </w:p>
    <w:p w14:paraId="49EBF138" w14:textId="77777777" w:rsidR="00374EA7" w:rsidRPr="00613AF2" w:rsidRDefault="00374EA7" w:rsidP="00613AF2">
      <w:pPr>
        <w:spacing w:after="0"/>
      </w:pPr>
    </w:p>
    <w:p w14:paraId="5FEE2D10" w14:textId="77777777" w:rsidR="00936332" w:rsidRPr="009A2E70" w:rsidRDefault="00936332" w:rsidP="00936332">
      <w:pPr>
        <w:pStyle w:val="Heading3"/>
        <w:spacing w:before="0"/>
        <w:rPr>
          <w:rFonts w:ascii="Public Sans" w:eastAsia="Helvetica" w:hAnsi="Public Sans"/>
          <w:b/>
          <w:color w:val="auto"/>
        </w:rPr>
      </w:pPr>
      <w:r w:rsidRPr="009A2E70">
        <w:rPr>
          <w:rFonts w:ascii="Public Sans" w:eastAsia="Helvetica" w:hAnsi="Public Sans"/>
          <w:b/>
          <w:color w:val="auto"/>
        </w:rPr>
        <w:t>Adults with disability</w:t>
      </w:r>
    </w:p>
    <w:p w14:paraId="4F43A1B8" w14:textId="682BBF37" w:rsidR="002948C7" w:rsidRPr="005576E4" w:rsidRDefault="005F4FE8" w:rsidP="002948C7">
      <w:pPr>
        <w:spacing w:before="120" w:after="0" w:line="240" w:lineRule="auto"/>
        <w:rPr>
          <w:rFonts w:ascii="Public Sans" w:hAnsi="Public Sans"/>
        </w:rPr>
      </w:pPr>
      <w:r>
        <w:rPr>
          <w:rFonts w:ascii="Public Sans" w:hAnsi="Public Sans"/>
        </w:rPr>
        <w:t>P</w:t>
      </w:r>
      <w:r w:rsidR="002948C7" w:rsidRPr="005576E4">
        <w:rPr>
          <w:rFonts w:ascii="Public Sans" w:hAnsi="Public Sans"/>
        </w:rPr>
        <w:t xml:space="preserve">aid workers were the main source of reports to the ADC about adults with disability in </w:t>
      </w:r>
      <w:r w:rsidR="006E0CE6">
        <w:rPr>
          <w:rFonts w:ascii="Public Sans" w:hAnsi="Public Sans"/>
        </w:rPr>
        <w:t>J</w:t>
      </w:r>
      <w:r w:rsidR="0062174E">
        <w:rPr>
          <w:rFonts w:ascii="Public Sans" w:hAnsi="Public Sans"/>
        </w:rPr>
        <w:t>uly</w:t>
      </w:r>
      <w:r w:rsidR="006E0CE6">
        <w:rPr>
          <w:rFonts w:ascii="Public Sans" w:hAnsi="Public Sans"/>
        </w:rPr>
        <w:t xml:space="preserve"> </w:t>
      </w:r>
      <w:r w:rsidR="002948C7" w:rsidRPr="005576E4">
        <w:rPr>
          <w:rFonts w:ascii="Public Sans" w:hAnsi="Public Sans"/>
        </w:rPr>
        <w:t xml:space="preserve">– </w:t>
      </w:r>
      <w:r w:rsidR="0062174E">
        <w:rPr>
          <w:rFonts w:ascii="Public Sans" w:hAnsi="Public Sans"/>
        </w:rPr>
        <w:t xml:space="preserve">September </w:t>
      </w:r>
      <w:r w:rsidR="002948C7" w:rsidRPr="005576E4">
        <w:rPr>
          <w:rFonts w:ascii="Public Sans" w:hAnsi="Public Sans"/>
        </w:rPr>
        <w:t>202</w:t>
      </w:r>
      <w:r w:rsidR="006E0CE6">
        <w:rPr>
          <w:rFonts w:ascii="Public Sans" w:hAnsi="Public Sans"/>
        </w:rPr>
        <w:t>3</w:t>
      </w:r>
      <w:r w:rsidR="002948C7" w:rsidRPr="005576E4">
        <w:rPr>
          <w:rFonts w:ascii="Public Sans" w:hAnsi="Public Sans"/>
        </w:rPr>
        <w:t>, accounting for</w:t>
      </w:r>
      <w:r w:rsidR="009624D7">
        <w:rPr>
          <w:rFonts w:ascii="Public Sans" w:hAnsi="Public Sans"/>
        </w:rPr>
        <w:t xml:space="preserve"> </w:t>
      </w:r>
      <w:r w:rsidR="006E0CE6">
        <w:rPr>
          <w:rFonts w:ascii="Public Sans" w:hAnsi="Public Sans"/>
        </w:rPr>
        <w:t>5</w:t>
      </w:r>
      <w:r w:rsidR="0062174E">
        <w:rPr>
          <w:rFonts w:ascii="Public Sans" w:hAnsi="Public Sans"/>
        </w:rPr>
        <w:t>9.6</w:t>
      </w:r>
      <w:r w:rsidR="009624D7">
        <w:rPr>
          <w:rFonts w:ascii="Public Sans" w:hAnsi="Public Sans"/>
        </w:rPr>
        <w:t>%</w:t>
      </w:r>
      <w:r w:rsidR="002948C7" w:rsidRPr="005576E4">
        <w:rPr>
          <w:rFonts w:ascii="Public Sans" w:hAnsi="Public Sans"/>
        </w:rPr>
        <w:t xml:space="preserve"> of the </w:t>
      </w:r>
      <w:r w:rsidR="0062174E">
        <w:rPr>
          <w:rFonts w:ascii="Public Sans" w:hAnsi="Public Sans"/>
        </w:rPr>
        <w:t>314</w:t>
      </w:r>
      <w:r w:rsidR="002948C7" w:rsidRPr="005576E4">
        <w:rPr>
          <w:rFonts w:ascii="Public Sans" w:hAnsi="Public Sans"/>
        </w:rPr>
        <w:t xml:space="preserve"> reports. Adults with disability (‘person experiencing abuse’) were the reporters in </w:t>
      </w:r>
      <w:r w:rsidR="006E0CE6">
        <w:rPr>
          <w:rFonts w:ascii="Public Sans" w:hAnsi="Public Sans"/>
        </w:rPr>
        <w:t>12.</w:t>
      </w:r>
      <w:r w:rsidR="0062174E">
        <w:rPr>
          <w:rFonts w:ascii="Public Sans" w:hAnsi="Public Sans"/>
        </w:rPr>
        <w:t>7</w:t>
      </w:r>
      <w:r w:rsidR="002948C7" w:rsidRPr="005576E4">
        <w:rPr>
          <w:rFonts w:ascii="Public Sans" w:hAnsi="Public Sans"/>
        </w:rPr>
        <w:t xml:space="preserve">% of reports received about adults with disability this quarter. </w:t>
      </w:r>
    </w:p>
    <w:p w14:paraId="7A7EDAC4" w14:textId="77777777" w:rsidR="000E23B6" w:rsidRPr="005576E4" w:rsidRDefault="000E23B6" w:rsidP="002948C7">
      <w:pPr>
        <w:spacing w:after="0" w:line="240" w:lineRule="auto"/>
        <w:rPr>
          <w:rFonts w:ascii="Public Sans" w:hAnsi="Public Sans"/>
        </w:rPr>
      </w:pPr>
    </w:p>
    <w:p w14:paraId="407BBFC4" w14:textId="5B3270EA" w:rsidR="002948C7" w:rsidRDefault="002948C7" w:rsidP="002948C7">
      <w:pPr>
        <w:pStyle w:val="Body"/>
        <w:widowControl w:val="0"/>
        <w:spacing w:after="0" w:line="240" w:lineRule="auto"/>
        <w:rPr>
          <w:rFonts w:ascii="Public Sans" w:eastAsia="Helvetica" w:hAnsi="Public Sans" w:cs="Segoe UI"/>
          <w:b/>
          <w:sz w:val="18"/>
        </w:rPr>
      </w:pPr>
      <w:r w:rsidRPr="00B35455">
        <w:rPr>
          <w:rFonts w:ascii="Public Sans" w:eastAsia="Helvetica" w:hAnsi="Public Sans" w:cs="Segoe UI"/>
          <w:b/>
          <w:sz w:val="18"/>
        </w:rPr>
        <w:lastRenderedPageBreak/>
        <w:t xml:space="preserve">Figure 9: Relationship of reporter to the adult with disability in reports to the ADC, </w:t>
      </w:r>
      <w:r w:rsidR="004F0A41">
        <w:rPr>
          <w:rFonts w:ascii="Public Sans" w:eastAsia="Helvetica" w:hAnsi="Public Sans" w:cs="Segoe UI"/>
          <w:b/>
          <w:sz w:val="18"/>
        </w:rPr>
        <w:t>J</w:t>
      </w:r>
      <w:r w:rsidR="0062174E">
        <w:rPr>
          <w:rFonts w:ascii="Public Sans" w:eastAsia="Helvetica" w:hAnsi="Public Sans" w:cs="Segoe UI"/>
          <w:b/>
          <w:sz w:val="18"/>
        </w:rPr>
        <w:t>uly</w:t>
      </w:r>
      <w:r w:rsidR="004F0A41">
        <w:rPr>
          <w:rFonts w:ascii="Public Sans" w:eastAsia="Helvetica" w:hAnsi="Public Sans" w:cs="Segoe UI"/>
          <w:b/>
          <w:sz w:val="18"/>
        </w:rPr>
        <w:t>-</w:t>
      </w:r>
      <w:r w:rsidR="0062174E">
        <w:rPr>
          <w:rFonts w:ascii="Public Sans" w:eastAsia="Helvetica" w:hAnsi="Public Sans" w:cs="Segoe UI"/>
          <w:b/>
          <w:sz w:val="18"/>
        </w:rPr>
        <w:t>Sept</w:t>
      </w:r>
      <w:r w:rsidRPr="00B35455">
        <w:rPr>
          <w:rFonts w:ascii="Public Sans" w:eastAsia="Helvetica" w:hAnsi="Public Sans" w:cs="Segoe UI"/>
          <w:b/>
          <w:sz w:val="18"/>
        </w:rPr>
        <w:t xml:space="preserve"> 202</w:t>
      </w:r>
      <w:r w:rsidR="004F0A41">
        <w:rPr>
          <w:rFonts w:ascii="Public Sans" w:eastAsia="Helvetica" w:hAnsi="Public Sans" w:cs="Segoe UI"/>
          <w:b/>
          <w:sz w:val="18"/>
        </w:rPr>
        <w:t>3</w:t>
      </w:r>
    </w:p>
    <w:p w14:paraId="6678978B" w14:textId="016AE056" w:rsidR="007A350D" w:rsidRDefault="0062174E" w:rsidP="002948C7">
      <w:pPr>
        <w:pStyle w:val="Body"/>
        <w:widowControl w:val="0"/>
        <w:spacing w:after="0" w:line="240" w:lineRule="auto"/>
        <w:rPr>
          <w:rFonts w:ascii="Public Sans" w:eastAsia="Helvetica" w:hAnsi="Public Sans" w:cs="Segoe UI"/>
          <w:b/>
          <w:sz w:val="18"/>
        </w:rPr>
      </w:pPr>
      <w:r>
        <w:rPr>
          <w:noProof/>
        </w:rPr>
        <w:drawing>
          <wp:inline distT="0" distB="0" distL="0" distR="0" wp14:anchorId="7C2D070D" wp14:editId="2F08F4CE">
            <wp:extent cx="5934075" cy="2238375"/>
            <wp:effectExtent l="0" t="0" r="9525" b="9525"/>
            <wp:docPr id="12" name="Chart 1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7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AFDD4B8" w14:textId="77777777" w:rsidR="00374EA7" w:rsidRPr="00374EA7" w:rsidRDefault="00374EA7" w:rsidP="00374EA7">
      <w:pPr>
        <w:spacing w:after="0" w:line="240" w:lineRule="auto"/>
      </w:pPr>
    </w:p>
    <w:p w14:paraId="6B9F13A6" w14:textId="28C24D5F" w:rsidR="00075101" w:rsidRPr="00B35455" w:rsidRDefault="00104A3D" w:rsidP="007A4BC6">
      <w:pPr>
        <w:pStyle w:val="Heading1"/>
        <w:keepNext w:val="0"/>
        <w:keepLines w:val="0"/>
        <w:widowControl w:val="0"/>
        <w:numPr>
          <w:ilvl w:val="0"/>
          <w:numId w:val="10"/>
        </w:numPr>
        <w:spacing w:before="0" w:after="0"/>
        <w:ind w:left="426" w:hanging="426"/>
        <w:rPr>
          <w:rFonts w:ascii="Public Sans" w:hAnsi="Public Sans" w:cs="Segoe UI"/>
          <w:b/>
          <w:color w:val="auto"/>
        </w:rPr>
      </w:pPr>
      <w:r w:rsidRPr="00B35455">
        <w:rPr>
          <w:rFonts w:ascii="Public Sans" w:hAnsi="Public Sans" w:cs="Segoe UI"/>
          <w:b/>
          <w:color w:val="auto"/>
        </w:rPr>
        <w:t>Subjects of allegation</w:t>
      </w:r>
    </w:p>
    <w:p w14:paraId="50C1A68A" w14:textId="77777777" w:rsidR="00F47D6A" w:rsidRPr="008264C8" w:rsidRDefault="00F47D6A" w:rsidP="00F6632E">
      <w:pPr>
        <w:pStyle w:val="Heading2"/>
        <w:rPr>
          <w:rFonts w:ascii="Public Sans" w:hAnsi="Public Sans"/>
          <w:b/>
          <w:color w:val="auto"/>
          <w:sz w:val="20"/>
        </w:rPr>
      </w:pPr>
    </w:p>
    <w:p w14:paraId="301ED0E1" w14:textId="77777777" w:rsidR="00E134D4" w:rsidRPr="00B35455" w:rsidRDefault="00E134D4" w:rsidP="005B09CE">
      <w:pPr>
        <w:pStyle w:val="Heading2"/>
        <w:spacing w:before="0"/>
        <w:rPr>
          <w:rFonts w:ascii="Public Sans" w:hAnsi="Public Sans"/>
          <w:b/>
          <w:color w:val="auto"/>
        </w:rPr>
      </w:pPr>
      <w:r w:rsidRPr="00B35455">
        <w:rPr>
          <w:rFonts w:ascii="Public Sans" w:hAnsi="Public Sans"/>
          <w:b/>
          <w:color w:val="auto"/>
        </w:rPr>
        <w:t>4.1 Relationship of the subject of allegation to the adult</w:t>
      </w:r>
    </w:p>
    <w:p w14:paraId="29400BED" w14:textId="77777777" w:rsidR="00F47D6A" w:rsidRPr="008264C8" w:rsidRDefault="00F47D6A" w:rsidP="007A4BC6">
      <w:pPr>
        <w:pStyle w:val="Heading3"/>
        <w:spacing w:before="0"/>
        <w:rPr>
          <w:rFonts w:ascii="Public Sans" w:eastAsia="Helvetica" w:hAnsi="Public Sans"/>
          <w:b/>
          <w:color w:val="auto"/>
          <w:sz w:val="20"/>
        </w:rPr>
      </w:pPr>
    </w:p>
    <w:p w14:paraId="191641D1" w14:textId="77777777" w:rsidR="001A6FB2" w:rsidRPr="00B35455" w:rsidRDefault="001A6FB2" w:rsidP="007A4BC6">
      <w:pPr>
        <w:pStyle w:val="Heading3"/>
        <w:spacing w:before="0"/>
        <w:rPr>
          <w:rFonts w:ascii="Public Sans" w:eastAsia="Helvetica" w:hAnsi="Public Sans"/>
          <w:b/>
          <w:color w:val="auto"/>
        </w:rPr>
      </w:pPr>
      <w:r w:rsidRPr="00B35455">
        <w:rPr>
          <w:rFonts w:ascii="Public Sans" w:eastAsia="Helvetica" w:hAnsi="Public Sans"/>
          <w:b/>
          <w:color w:val="auto"/>
        </w:rPr>
        <w:t>Older people</w:t>
      </w:r>
    </w:p>
    <w:p w14:paraId="05E7A3AE" w14:textId="35CB7066" w:rsidR="002948C7" w:rsidRPr="005576E4" w:rsidRDefault="000774BA" w:rsidP="002948C7">
      <w:pPr>
        <w:pStyle w:val="Body"/>
        <w:widowControl w:val="0"/>
        <w:spacing w:before="120" w:after="0" w:line="240" w:lineRule="auto"/>
        <w:rPr>
          <w:rFonts w:ascii="Public Sans" w:eastAsia="Helvetica" w:hAnsi="Public Sans" w:cs="Segoe UI"/>
        </w:rPr>
      </w:pPr>
      <w:r>
        <w:rPr>
          <w:rFonts w:ascii="Public Sans" w:eastAsia="Helvetica" w:hAnsi="Public Sans" w:cs="Segoe UI"/>
        </w:rPr>
        <w:t>H</w:t>
      </w:r>
      <w:r w:rsidR="002948C7" w:rsidRPr="005576E4">
        <w:rPr>
          <w:rFonts w:ascii="Public Sans" w:eastAsia="Helvetica" w:hAnsi="Public Sans" w:cs="Segoe UI"/>
        </w:rPr>
        <w:t>alf (5</w:t>
      </w:r>
      <w:r w:rsidR="00F8288F">
        <w:rPr>
          <w:rFonts w:ascii="Public Sans" w:eastAsia="Helvetica" w:hAnsi="Public Sans" w:cs="Segoe UI"/>
        </w:rPr>
        <w:t>1</w:t>
      </w:r>
      <w:r w:rsidR="000C6FE0">
        <w:rPr>
          <w:rFonts w:ascii="Public Sans" w:eastAsia="Helvetica" w:hAnsi="Public Sans" w:cs="Segoe UI"/>
        </w:rPr>
        <w:t>.</w:t>
      </w:r>
      <w:r w:rsidR="00A63E13">
        <w:rPr>
          <w:rFonts w:ascii="Public Sans" w:eastAsia="Helvetica" w:hAnsi="Public Sans" w:cs="Segoe UI"/>
        </w:rPr>
        <w:t>5</w:t>
      </w:r>
      <w:r w:rsidR="002948C7" w:rsidRPr="005576E4">
        <w:rPr>
          <w:rFonts w:ascii="Public Sans" w:eastAsia="Helvetica" w:hAnsi="Public Sans" w:cs="Segoe UI"/>
        </w:rPr>
        <w:t xml:space="preserve">%) of the </w:t>
      </w:r>
      <w:r w:rsidR="00A63E13">
        <w:rPr>
          <w:rFonts w:ascii="Public Sans" w:eastAsia="Helvetica" w:hAnsi="Public Sans" w:cs="Segoe UI"/>
        </w:rPr>
        <w:t>1,025</w:t>
      </w:r>
      <w:r w:rsidR="002948C7" w:rsidRPr="005576E4">
        <w:rPr>
          <w:rFonts w:ascii="Public Sans" w:eastAsia="Helvetica" w:hAnsi="Public Sans" w:cs="Segoe UI"/>
        </w:rPr>
        <w:t xml:space="preserve"> reports to the ADC about older people in </w:t>
      </w:r>
      <w:r w:rsidR="00F8288F">
        <w:rPr>
          <w:rFonts w:ascii="Public Sans" w:eastAsia="Helvetica" w:hAnsi="Public Sans" w:cs="Segoe UI"/>
        </w:rPr>
        <w:t>J</w:t>
      </w:r>
      <w:r w:rsidR="00A63E13">
        <w:rPr>
          <w:rFonts w:ascii="Public Sans" w:eastAsia="Helvetica" w:hAnsi="Public Sans" w:cs="Segoe UI"/>
        </w:rPr>
        <w:t>uly</w:t>
      </w:r>
      <w:r w:rsidR="002948C7" w:rsidRPr="005576E4">
        <w:rPr>
          <w:rFonts w:ascii="Public Sans" w:eastAsia="Helvetica" w:hAnsi="Public Sans" w:cs="Segoe UI"/>
        </w:rPr>
        <w:t xml:space="preserve"> – </w:t>
      </w:r>
      <w:r w:rsidR="00A63E13">
        <w:rPr>
          <w:rFonts w:ascii="Public Sans" w:eastAsia="Helvetica" w:hAnsi="Public Sans" w:cs="Segoe UI"/>
        </w:rPr>
        <w:t>September</w:t>
      </w:r>
      <w:r w:rsidR="002948C7" w:rsidRPr="005576E4">
        <w:rPr>
          <w:rFonts w:ascii="Public Sans" w:eastAsia="Helvetica" w:hAnsi="Public Sans" w:cs="Segoe UI"/>
        </w:rPr>
        <w:t xml:space="preserve"> 202</w:t>
      </w:r>
      <w:r w:rsidR="00F8288F">
        <w:rPr>
          <w:rFonts w:ascii="Public Sans" w:eastAsia="Helvetica" w:hAnsi="Public Sans" w:cs="Segoe UI"/>
        </w:rPr>
        <w:t>3</w:t>
      </w:r>
      <w:r w:rsidR="002948C7" w:rsidRPr="005576E4">
        <w:rPr>
          <w:rFonts w:ascii="Public Sans" w:eastAsia="Helvetica" w:hAnsi="Public Sans" w:cs="Segoe UI"/>
        </w:rPr>
        <w:t xml:space="preserve"> pertained to the person’s adult children. All up, relatives</w:t>
      </w:r>
      <w:r w:rsidR="008264C8">
        <w:rPr>
          <w:rStyle w:val="FootnoteReference"/>
          <w:rFonts w:ascii="Public Sans" w:eastAsia="Helvetica" w:hAnsi="Public Sans" w:cs="Segoe UI"/>
        </w:rPr>
        <w:footnoteReference w:id="4"/>
      </w:r>
      <w:r w:rsidR="002948C7" w:rsidRPr="005576E4">
        <w:rPr>
          <w:rFonts w:ascii="Public Sans" w:eastAsia="Helvetica" w:hAnsi="Public Sans" w:cs="Segoe UI"/>
        </w:rPr>
        <w:t xml:space="preserve"> were the subjects of allegation in </w:t>
      </w:r>
      <w:r w:rsidR="00F8288F">
        <w:rPr>
          <w:rFonts w:ascii="Public Sans" w:eastAsia="Helvetica" w:hAnsi="Public Sans" w:cs="Segoe UI"/>
        </w:rPr>
        <w:t>6</w:t>
      </w:r>
      <w:r w:rsidR="00A63E13">
        <w:rPr>
          <w:rFonts w:ascii="Public Sans" w:eastAsia="Helvetica" w:hAnsi="Public Sans" w:cs="Segoe UI"/>
        </w:rPr>
        <w:t>2.2</w:t>
      </w:r>
      <w:r w:rsidR="002948C7" w:rsidRPr="005576E4">
        <w:rPr>
          <w:rFonts w:ascii="Public Sans" w:eastAsia="Helvetica" w:hAnsi="Public Sans" w:cs="Segoe UI"/>
        </w:rPr>
        <w:t>% of the reports about older people in this quarter. Allegations against a spouse or partner (or ex-spouse/ partner) featured in 1</w:t>
      </w:r>
      <w:r w:rsidR="00A63E13">
        <w:rPr>
          <w:rFonts w:ascii="Public Sans" w:eastAsia="Helvetica" w:hAnsi="Public Sans" w:cs="Segoe UI"/>
        </w:rPr>
        <w:t>2.8</w:t>
      </w:r>
      <w:r w:rsidR="002948C7" w:rsidRPr="005576E4">
        <w:rPr>
          <w:rFonts w:ascii="Public Sans" w:eastAsia="Helvetica" w:hAnsi="Public Sans" w:cs="Segoe UI"/>
        </w:rPr>
        <w:t xml:space="preserve">% of the reports about older people. </w:t>
      </w:r>
    </w:p>
    <w:p w14:paraId="227EF8E5" w14:textId="77777777" w:rsidR="002948C7" w:rsidRPr="005576E4" w:rsidRDefault="002948C7" w:rsidP="002948C7">
      <w:pPr>
        <w:pStyle w:val="Body"/>
        <w:widowControl w:val="0"/>
        <w:spacing w:after="0" w:line="240" w:lineRule="auto"/>
        <w:rPr>
          <w:rFonts w:ascii="Public Sans" w:eastAsia="Helvetica" w:hAnsi="Public Sans" w:cs="Segoe UI"/>
        </w:rPr>
      </w:pPr>
      <w:r w:rsidRPr="005576E4">
        <w:rPr>
          <w:rFonts w:ascii="Public Sans" w:eastAsia="Helvetica" w:hAnsi="Public Sans" w:cs="Segoe UI"/>
        </w:rPr>
        <w:t xml:space="preserve"> </w:t>
      </w:r>
    </w:p>
    <w:p w14:paraId="7C1F22E2" w14:textId="6E5DD24A" w:rsidR="002948C7" w:rsidRDefault="00234D13" w:rsidP="002948C7">
      <w:pPr>
        <w:pStyle w:val="Body"/>
        <w:widowControl w:val="0"/>
        <w:spacing w:after="0" w:line="240" w:lineRule="auto"/>
        <w:rPr>
          <w:rFonts w:ascii="Public Sans" w:eastAsia="Helvetica" w:hAnsi="Public Sans" w:cs="Segoe UI"/>
          <w:b/>
          <w:sz w:val="18"/>
        </w:rPr>
      </w:pPr>
      <w:r w:rsidRPr="008F3A10">
        <w:rPr>
          <w:rFonts w:ascii="Public Sans" w:eastAsia="Helvetica" w:hAnsi="Public Sans" w:cs="Segoe UI"/>
          <w:b/>
          <w:sz w:val="18"/>
        </w:rPr>
        <w:t>Figure 10</w:t>
      </w:r>
      <w:r w:rsidR="002948C7" w:rsidRPr="008F3A10">
        <w:rPr>
          <w:rFonts w:ascii="Public Sans" w:eastAsia="Helvetica" w:hAnsi="Public Sans" w:cs="Segoe UI"/>
          <w:b/>
          <w:sz w:val="18"/>
        </w:rPr>
        <w:t xml:space="preserve">: Relationship of the subject of allegation to the older person in reports to the ADC, </w:t>
      </w:r>
      <w:r w:rsidR="00F54A3D">
        <w:rPr>
          <w:rFonts w:ascii="Public Sans" w:eastAsia="Helvetica" w:hAnsi="Public Sans" w:cs="Segoe UI"/>
          <w:b/>
          <w:sz w:val="18"/>
        </w:rPr>
        <w:t>J</w:t>
      </w:r>
      <w:r w:rsidR="00B318ED">
        <w:rPr>
          <w:rFonts w:ascii="Public Sans" w:eastAsia="Helvetica" w:hAnsi="Public Sans" w:cs="Segoe UI"/>
          <w:b/>
          <w:sz w:val="18"/>
        </w:rPr>
        <w:t>uly</w:t>
      </w:r>
      <w:r w:rsidR="008F3A10">
        <w:rPr>
          <w:rFonts w:ascii="Public Sans" w:eastAsia="Helvetica" w:hAnsi="Public Sans" w:cs="Segoe UI"/>
          <w:b/>
          <w:sz w:val="18"/>
        </w:rPr>
        <w:t>-</w:t>
      </w:r>
      <w:r w:rsidR="00B318ED">
        <w:rPr>
          <w:rFonts w:ascii="Public Sans" w:eastAsia="Helvetica" w:hAnsi="Public Sans" w:cs="Segoe UI"/>
          <w:b/>
          <w:sz w:val="18"/>
        </w:rPr>
        <w:t>Sept</w:t>
      </w:r>
      <w:r w:rsidR="002948C7" w:rsidRPr="008F3A10">
        <w:rPr>
          <w:rFonts w:ascii="Public Sans" w:eastAsia="Helvetica" w:hAnsi="Public Sans" w:cs="Segoe UI"/>
          <w:b/>
          <w:sz w:val="18"/>
        </w:rPr>
        <w:t xml:space="preserve"> 202</w:t>
      </w:r>
      <w:r w:rsidR="00F54A3D">
        <w:rPr>
          <w:rFonts w:ascii="Public Sans" w:eastAsia="Helvetica" w:hAnsi="Public Sans" w:cs="Segoe UI"/>
          <w:b/>
          <w:sz w:val="18"/>
        </w:rPr>
        <w:t>3</w:t>
      </w:r>
    </w:p>
    <w:p w14:paraId="518A330F" w14:textId="7A6F92B4" w:rsidR="000774BA" w:rsidRDefault="00B318ED" w:rsidP="002948C7">
      <w:pPr>
        <w:pStyle w:val="Body"/>
        <w:widowControl w:val="0"/>
        <w:spacing w:after="0" w:line="240" w:lineRule="auto"/>
        <w:rPr>
          <w:rFonts w:ascii="Public Sans" w:eastAsia="Helvetica" w:hAnsi="Public Sans" w:cs="Segoe UI"/>
          <w:b/>
          <w:sz w:val="18"/>
        </w:rPr>
      </w:pPr>
      <w:r>
        <w:rPr>
          <w:noProof/>
        </w:rPr>
        <w:drawing>
          <wp:inline distT="0" distB="0" distL="0" distR="0" wp14:anchorId="255BF9A1" wp14:editId="58D763E4">
            <wp:extent cx="6048375" cy="2609850"/>
            <wp:effectExtent l="0" t="0" r="9525" b="0"/>
            <wp:docPr id="13" name="Chart 1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8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47E043A4" w14:textId="036DA469" w:rsidR="005E1F34" w:rsidRDefault="005E1F34" w:rsidP="002948C7">
      <w:pPr>
        <w:pStyle w:val="Body"/>
        <w:widowControl w:val="0"/>
        <w:spacing w:after="0" w:line="240" w:lineRule="auto"/>
        <w:rPr>
          <w:rFonts w:ascii="Public Sans" w:eastAsia="Helvetica" w:hAnsi="Public Sans" w:cs="Segoe UI"/>
          <w:b/>
          <w:sz w:val="18"/>
        </w:rPr>
      </w:pPr>
    </w:p>
    <w:p w14:paraId="20490486" w14:textId="77777777" w:rsidR="00374EA7" w:rsidRPr="008F3A10" w:rsidRDefault="00374EA7" w:rsidP="002948C7">
      <w:pPr>
        <w:pStyle w:val="Body"/>
        <w:widowControl w:val="0"/>
        <w:spacing w:after="0" w:line="240" w:lineRule="auto"/>
        <w:rPr>
          <w:rFonts w:ascii="Public Sans" w:eastAsia="Helvetica" w:hAnsi="Public Sans" w:cs="Segoe UI"/>
          <w:b/>
          <w:sz w:val="18"/>
        </w:rPr>
      </w:pPr>
    </w:p>
    <w:p w14:paraId="018FC0D3" w14:textId="77777777" w:rsidR="00936332" w:rsidRPr="00FE4A69" w:rsidRDefault="00936332" w:rsidP="00936332">
      <w:pPr>
        <w:pStyle w:val="Heading3"/>
        <w:spacing w:before="0"/>
        <w:rPr>
          <w:rFonts w:ascii="Public Sans" w:eastAsia="Helvetica" w:hAnsi="Public Sans"/>
          <w:b/>
          <w:color w:val="auto"/>
        </w:rPr>
      </w:pPr>
      <w:r w:rsidRPr="00FE4A69">
        <w:rPr>
          <w:rFonts w:ascii="Public Sans" w:eastAsia="Helvetica" w:hAnsi="Public Sans"/>
          <w:b/>
          <w:color w:val="auto"/>
        </w:rPr>
        <w:t>Adults with disability</w:t>
      </w:r>
    </w:p>
    <w:p w14:paraId="02E514C1" w14:textId="07E422CC" w:rsidR="002948C7" w:rsidRDefault="003A1187" w:rsidP="002948C7">
      <w:pPr>
        <w:pStyle w:val="Body"/>
        <w:widowControl w:val="0"/>
        <w:spacing w:before="120" w:after="0" w:line="240" w:lineRule="auto"/>
        <w:rPr>
          <w:rFonts w:ascii="Public Sans" w:eastAsia="Helvetica" w:hAnsi="Public Sans" w:cs="Segoe UI"/>
        </w:rPr>
      </w:pPr>
      <w:r>
        <w:rPr>
          <w:rFonts w:ascii="Public Sans" w:eastAsia="Helvetica" w:hAnsi="Public Sans" w:cs="Segoe UI"/>
        </w:rPr>
        <w:t xml:space="preserve">In </w:t>
      </w:r>
      <w:r w:rsidR="00F54A3D">
        <w:rPr>
          <w:rFonts w:ascii="Public Sans" w:eastAsia="Helvetica" w:hAnsi="Public Sans" w:cs="Segoe UI"/>
        </w:rPr>
        <w:t>29</w:t>
      </w:r>
      <w:r w:rsidR="001609B8">
        <w:rPr>
          <w:rFonts w:ascii="Public Sans" w:eastAsia="Helvetica" w:hAnsi="Public Sans" w:cs="Segoe UI"/>
        </w:rPr>
        <w:t>.3</w:t>
      </w:r>
      <w:r w:rsidR="002948C7" w:rsidRPr="005576E4">
        <w:rPr>
          <w:rFonts w:ascii="Public Sans" w:eastAsia="Helvetica" w:hAnsi="Public Sans" w:cs="Segoe UI"/>
        </w:rPr>
        <w:t xml:space="preserve">% of the </w:t>
      </w:r>
      <w:r w:rsidR="001609B8">
        <w:rPr>
          <w:rFonts w:ascii="Public Sans" w:eastAsia="Helvetica" w:hAnsi="Public Sans" w:cs="Segoe UI"/>
        </w:rPr>
        <w:t>314</w:t>
      </w:r>
      <w:r w:rsidR="0048260A">
        <w:rPr>
          <w:rFonts w:ascii="Public Sans" w:eastAsia="Helvetica" w:hAnsi="Public Sans" w:cs="Segoe UI"/>
        </w:rPr>
        <w:t xml:space="preserve"> </w:t>
      </w:r>
      <w:r w:rsidR="002948C7" w:rsidRPr="005576E4">
        <w:rPr>
          <w:rFonts w:ascii="Public Sans" w:eastAsia="Helvetica" w:hAnsi="Public Sans" w:cs="Segoe UI"/>
        </w:rPr>
        <w:t xml:space="preserve">reports to the ADC about adults with disability in </w:t>
      </w:r>
      <w:r w:rsidR="00F54A3D">
        <w:rPr>
          <w:rFonts w:ascii="Public Sans" w:eastAsia="Helvetica" w:hAnsi="Public Sans" w:cs="Segoe UI"/>
        </w:rPr>
        <w:t>J</w:t>
      </w:r>
      <w:r w:rsidR="001609B8">
        <w:rPr>
          <w:rFonts w:ascii="Public Sans" w:eastAsia="Helvetica" w:hAnsi="Public Sans" w:cs="Segoe UI"/>
        </w:rPr>
        <w:t>uly</w:t>
      </w:r>
      <w:r w:rsidR="002948C7" w:rsidRPr="005576E4">
        <w:rPr>
          <w:rFonts w:ascii="Public Sans" w:eastAsia="Helvetica" w:hAnsi="Public Sans" w:cs="Segoe UI"/>
        </w:rPr>
        <w:t xml:space="preserve"> – </w:t>
      </w:r>
      <w:r w:rsidR="001609B8">
        <w:rPr>
          <w:rFonts w:ascii="Public Sans" w:eastAsia="Helvetica" w:hAnsi="Public Sans" w:cs="Segoe UI"/>
        </w:rPr>
        <w:t>September</w:t>
      </w:r>
      <w:r w:rsidR="002E289F">
        <w:rPr>
          <w:rFonts w:ascii="Public Sans" w:eastAsia="Helvetica" w:hAnsi="Public Sans" w:cs="Segoe UI"/>
        </w:rPr>
        <w:t xml:space="preserve"> </w:t>
      </w:r>
      <w:r w:rsidR="002948C7" w:rsidRPr="005576E4">
        <w:rPr>
          <w:rFonts w:ascii="Public Sans" w:eastAsia="Helvetica" w:hAnsi="Public Sans" w:cs="Segoe UI"/>
        </w:rPr>
        <w:t>202</w:t>
      </w:r>
      <w:r w:rsidR="00F54A3D">
        <w:rPr>
          <w:rFonts w:ascii="Public Sans" w:eastAsia="Helvetica" w:hAnsi="Public Sans" w:cs="Segoe UI"/>
        </w:rPr>
        <w:t>3</w:t>
      </w:r>
      <w:r w:rsidR="002948C7" w:rsidRPr="005576E4">
        <w:rPr>
          <w:rFonts w:ascii="Public Sans" w:eastAsia="Helvetica" w:hAnsi="Public Sans" w:cs="Segoe UI"/>
        </w:rPr>
        <w:t>, the allegations pertained to the adult’s parent(s). All up, relatives</w:t>
      </w:r>
      <w:r w:rsidR="008264C8">
        <w:rPr>
          <w:rStyle w:val="FootnoteReference"/>
          <w:rFonts w:ascii="Public Sans" w:eastAsia="Helvetica" w:hAnsi="Public Sans" w:cs="Segoe UI"/>
        </w:rPr>
        <w:footnoteReference w:id="5"/>
      </w:r>
      <w:r w:rsidR="002948C7" w:rsidRPr="005576E4">
        <w:rPr>
          <w:rFonts w:ascii="Public Sans" w:eastAsia="Helvetica" w:hAnsi="Public Sans" w:cs="Segoe UI"/>
        </w:rPr>
        <w:t xml:space="preserve"> were the subjects of allegation in </w:t>
      </w:r>
      <w:r w:rsidR="001609B8">
        <w:rPr>
          <w:rFonts w:ascii="Public Sans" w:eastAsia="Helvetica" w:hAnsi="Public Sans" w:cs="Segoe UI"/>
        </w:rPr>
        <w:t>50</w:t>
      </w:r>
      <w:r w:rsidR="0048260A">
        <w:rPr>
          <w:rFonts w:ascii="Public Sans" w:eastAsia="Helvetica" w:hAnsi="Public Sans" w:cs="Segoe UI"/>
        </w:rPr>
        <w:t>.</w:t>
      </w:r>
      <w:r w:rsidR="00F54A3D">
        <w:rPr>
          <w:rFonts w:ascii="Public Sans" w:eastAsia="Helvetica" w:hAnsi="Public Sans" w:cs="Segoe UI"/>
        </w:rPr>
        <w:t>3</w:t>
      </w:r>
      <w:r w:rsidR="002948C7" w:rsidRPr="005576E4">
        <w:rPr>
          <w:rFonts w:ascii="Public Sans" w:eastAsia="Helvetica" w:hAnsi="Public Sans" w:cs="Segoe UI"/>
        </w:rPr>
        <w:t>% of the reports about adults with disability</w:t>
      </w:r>
      <w:r w:rsidR="000A2F1A">
        <w:rPr>
          <w:rFonts w:ascii="Public Sans" w:eastAsia="Helvetica" w:hAnsi="Public Sans" w:cs="Segoe UI"/>
        </w:rPr>
        <w:t xml:space="preserve"> </w:t>
      </w:r>
      <w:r w:rsidR="002948C7" w:rsidRPr="005576E4">
        <w:rPr>
          <w:rFonts w:ascii="Public Sans" w:eastAsia="Helvetica" w:hAnsi="Public Sans" w:cs="Segoe UI"/>
        </w:rPr>
        <w:t xml:space="preserve">in this quarter. In </w:t>
      </w:r>
      <w:r w:rsidR="0048260A">
        <w:rPr>
          <w:rFonts w:ascii="Public Sans" w:eastAsia="Helvetica" w:hAnsi="Public Sans" w:cs="Segoe UI"/>
        </w:rPr>
        <w:t>1</w:t>
      </w:r>
      <w:r w:rsidR="001609B8">
        <w:rPr>
          <w:rFonts w:ascii="Public Sans" w:eastAsia="Helvetica" w:hAnsi="Public Sans" w:cs="Segoe UI"/>
        </w:rPr>
        <w:t>6</w:t>
      </w:r>
      <w:r w:rsidR="0048260A">
        <w:rPr>
          <w:rFonts w:ascii="Public Sans" w:eastAsia="Helvetica" w:hAnsi="Public Sans" w:cs="Segoe UI"/>
        </w:rPr>
        <w:t>.</w:t>
      </w:r>
      <w:r w:rsidR="001609B8">
        <w:rPr>
          <w:rFonts w:ascii="Public Sans" w:eastAsia="Helvetica" w:hAnsi="Public Sans" w:cs="Segoe UI"/>
        </w:rPr>
        <w:t>6</w:t>
      </w:r>
      <w:r w:rsidR="002948C7" w:rsidRPr="005576E4">
        <w:rPr>
          <w:rFonts w:ascii="Public Sans" w:eastAsia="Helvetica" w:hAnsi="Public Sans" w:cs="Segoe UI"/>
        </w:rPr>
        <w:t xml:space="preserve">% of matters, the adult’s spouse or partner (or ex-spouse/partner) was the subject of the allegations. </w:t>
      </w:r>
    </w:p>
    <w:p w14:paraId="7951AB74" w14:textId="5214689B" w:rsidR="002948C7" w:rsidRDefault="002948C7" w:rsidP="002948C7">
      <w:pPr>
        <w:pStyle w:val="Body"/>
        <w:widowControl w:val="0"/>
        <w:spacing w:after="0" w:line="240" w:lineRule="auto"/>
        <w:rPr>
          <w:rFonts w:ascii="Public Sans" w:eastAsia="Helvetica" w:hAnsi="Public Sans" w:cs="Segoe UI"/>
          <w:b/>
          <w:sz w:val="18"/>
        </w:rPr>
      </w:pPr>
      <w:r w:rsidRPr="00D51AA9">
        <w:rPr>
          <w:rFonts w:ascii="Public Sans" w:eastAsia="Helvetica" w:hAnsi="Public Sans" w:cs="Segoe UI"/>
          <w:b/>
          <w:sz w:val="18"/>
        </w:rPr>
        <w:lastRenderedPageBreak/>
        <w:t xml:space="preserve">Figure </w:t>
      </w:r>
      <w:r w:rsidR="00234D13" w:rsidRPr="00D51AA9">
        <w:rPr>
          <w:rFonts w:ascii="Public Sans" w:eastAsia="Helvetica" w:hAnsi="Public Sans" w:cs="Segoe UI"/>
          <w:b/>
          <w:sz w:val="18"/>
        </w:rPr>
        <w:t>11</w:t>
      </w:r>
      <w:r w:rsidRPr="00D51AA9">
        <w:rPr>
          <w:rFonts w:ascii="Public Sans" w:eastAsia="Helvetica" w:hAnsi="Public Sans" w:cs="Segoe UI"/>
          <w:b/>
          <w:sz w:val="18"/>
        </w:rPr>
        <w:t>: Relationship of the subject of allegation to the adult with disability in reports to the ADC,</w:t>
      </w:r>
      <w:r w:rsidR="00D17C25">
        <w:rPr>
          <w:rFonts w:ascii="Public Sans" w:eastAsia="Helvetica" w:hAnsi="Public Sans" w:cs="Segoe UI"/>
          <w:b/>
          <w:sz w:val="18"/>
        </w:rPr>
        <w:t xml:space="preserve"> </w:t>
      </w:r>
      <w:r w:rsidR="00045FBF">
        <w:rPr>
          <w:rFonts w:ascii="Public Sans" w:eastAsia="Helvetica" w:hAnsi="Public Sans" w:cs="Segoe UI"/>
          <w:b/>
          <w:sz w:val="18"/>
        </w:rPr>
        <w:t>J</w:t>
      </w:r>
      <w:r w:rsidR="001609B8">
        <w:rPr>
          <w:rFonts w:ascii="Public Sans" w:eastAsia="Helvetica" w:hAnsi="Public Sans" w:cs="Segoe UI"/>
          <w:b/>
          <w:sz w:val="18"/>
        </w:rPr>
        <w:t>uly</w:t>
      </w:r>
      <w:r w:rsidR="00D51AA9">
        <w:rPr>
          <w:rFonts w:ascii="Public Sans" w:eastAsia="Helvetica" w:hAnsi="Public Sans" w:cs="Segoe UI"/>
          <w:b/>
          <w:sz w:val="18"/>
        </w:rPr>
        <w:t>-</w:t>
      </w:r>
      <w:r w:rsidR="001609B8">
        <w:rPr>
          <w:rFonts w:ascii="Public Sans" w:eastAsia="Helvetica" w:hAnsi="Public Sans" w:cs="Segoe UI"/>
          <w:b/>
          <w:sz w:val="18"/>
        </w:rPr>
        <w:t>Sept</w:t>
      </w:r>
      <w:r w:rsidRPr="00D51AA9">
        <w:rPr>
          <w:rFonts w:ascii="Public Sans" w:eastAsia="Helvetica" w:hAnsi="Public Sans" w:cs="Segoe UI"/>
          <w:b/>
          <w:sz w:val="18"/>
        </w:rPr>
        <w:t xml:space="preserve"> 202</w:t>
      </w:r>
      <w:r w:rsidR="00045FBF">
        <w:rPr>
          <w:rFonts w:ascii="Public Sans" w:eastAsia="Helvetica" w:hAnsi="Public Sans" w:cs="Segoe UI"/>
          <w:b/>
          <w:sz w:val="18"/>
        </w:rPr>
        <w:t>3</w:t>
      </w:r>
    </w:p>
    <w:p w14:paraId="4D2B7A7D" w14:textId="146AB8EC" w:rsidR="002E289F" w:rsidRDefault="001609B8" w:rsidP="002948C7">
      <w:pPr>
        <w:pStyle w:val="Body"/>
        <w:widowControl w:val="0"/>
        <w:spacing w:after="0" w:line="240" w:lineRule="auto"/>
        <w:rPr>
          <w:rFonts w:ascii="Public Sans" w:eastAsia="Helvetica" w:hAnsi="Public Sans" w:cs="Segoe UI"/>
          <w:b/>
          <w:sz w:val="18"/>
        </w:rPr>
      </w:pPr>
      <w:r>
        <w:rPr>
          <w:noProof/>
        </w:rPr>
        <w:drawing>
          <wp:inline distT="0" distB="0" distL="0" distR="0" wp14:anchorId="5D44EB62" wp14:editId="42F909FB">
            <wp:extent cx="6115050" cy="2724150"/>
            <wp:effectExtent l="0" t="0" r="0" b="0"/>
            <wp:docPr id="15" name="Chart 1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8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46BBF0A4" w14:textId="77777777" w:rsidR="00715BDA" w:rsidRPr="00374EA7" w:rsidRDefault="00715BDA" w:rsidP="009721C6">
      <w:pPr>
        <w:spacing w:after="0" w:line="240" w:lineRule="auto"/>
        <w:rPr>
          <w:rFonts w:ascii="Public Sans" w:hAnsi="Public Sans"/>
          <w:szCs w:val="24"/>
        </w:rPr>
      </w:pPr>
    </w:p>
    <w:p w14:paraId="59F9A9E8" w14:textId="77777777" w:rsidR="007B744A" w:rsidRPr="00374EA7" w:rsidRDefault="007B744A" w:rsidP="009721C6">
      <w:pPr>
        <w:spacing w:after="0" w:line="240" w:lineRule="auto"/>
        <w:rPr>
          <w:rFonts w:ascii="Public Sans" w:hAnsi="Public Sans"/>
          <w:szCs w:val="24"/>
        </w:rPr>
      </w:pPr>
    </w:p>
    <w:p w14:paraId="59F80CB6" w14:textId="77777777" w:rsidR="00E403D8" w:rsidRPr="00625B48" w:rsidRDefault="00E403D8" w:rsidP="00E134D4">
      <w:pPr>
        <w:pStyle w:val="Heading1"/>
        <w:keepNext w:val="0"/>
        <w:keepLines w:val="0"/>
        <w:widowControl w:val="0"/>
        <w:numPr>
          <w:ilvl w:val="0"/>
          <w:numId w:val="10"/>
        </w:numPr>
        <w:spacing w:before="0" w:after="0"/>
        <w:ind w:left="426" w:hanging="426"/>
        <w:rPr>
          <w:rFonts w:ascii="Public Sans" w:hAnsi="Public Sans" w:cs="Segoe UI"/>
          <w:b/>
          <w:color w:val="auto"/>
        </w:rPr>
      </w:pPr>
      <w:r w:rsidRPr="00625B48">
        <w:rPr>
          <w:rFonts w:ascii="Public Sans" w:hAnsi="Public Sans" w:cs="Segoe UI"/>
          <w:b/>
          <w:color w:val="auto"/>
        </w:rPr>
        <w:t>Type of alleged abuse</w:t>
      </w:r>
    </w:p>
    <w:p w14:paraId="1C0C7D62" w14:textId="77777777" w:rsidR="00584B4E" w:rsidRPr="00771917" w:rsidRDefault="00075101" w:rsidP="009A2E70">
      <w:pPr>
        <w:pStyle w:val="Body"/>
        <w:widowControl w:val="0"/>
        <w:spacing w:before="120" w:after="0" w:line="240" w:lineRule="auto"/>
        <w:rPr>
          <w:rFonts w:ascii="Public Sans" w:eastAsia="Helvetica" w:hAnsi="Public Sans" w:cs="Segoe UI"/>
          <w:color w:val="auto"/>
        </w:rPr>
      </w:pPr>
      <w:r w:rsidRPr="00771917">
        <w:rPr>
          <w:rFonts w:ascii="Public Sans" w:eastAsia="Helvetica" w:hAnsi="Public Sans" w:cs="Segoe UI"/>
          <w:color w:val="auto"/>
        </w:rPr>
        <w:t xml:space="preserve">Most </w:t>
      </w:r>
      <w:r w:rsidR="00E403D8" w:rsidRPr="00771917">
        <w:rPr>
          <w:rFonts w:ascii="Public Sans" w:eastAsia="Helvetica" w:hAnsi="Public Sans" w:cs="Segoe UI"/>
          <w:color w:val="auto"/>
        </w:rPr>
        <w:t>report</w:t>
      </w:r>
      <w:r w:rsidRPr="00771917">
        <w:rPr>
          <w:rFonts w:ascii="Public Sans" w:eastAsia="Helvetica" w:hAnsi="Public Sans" w:cs="Segoe UI"/>
          <w:color w:val="auto"/>
        </w:rPr>
        <w:t>s</w:t>
      </w:r>
      <w:r w:rsidR="00E403D8" w:rsidRPr="00771917">
        <w:rPr>
          <w:rFonts w:ascii="Public Sans" w:eastAsia="Helvetica" w:hAnsi="Public Sans" w:cs="Segoe UI"/>
          <w:color w:val="auto"/>
        </w:rPr>
        <w:t xml:space="preserve"> to the ADC involve more than one type of abuse. </w:t>
      </w:r>
    </w:p>
    <w:p w14:paraId="2632D538" w14:textId="77777777" w:rsidR="00576B62" w:rsidRPr="00E550C7" w:rsidRDefault="00576B62" w:rsidP="007A4BC6">
      <w:pPr>
        <w:spacing w:after="0" w:line="240" w:lineRule="auto"/>
        <w:rPr>
          <w:rFonts w:ascii="Public Sans" w:hAnsi="Public Sans"/>
          <w:sz w:val="20"/>
        </w:rPr>
      </w:pPr>
    </w:p>
    <w:p w14:paraId="072A9D2A" w14:textId="77777777" w:rsidR="00584B4E" w:rsidRPr="00771917" w:rsidRDefault="00584B4E" w:rsidP="007A4BC6">
      <w:pPr>
        <w:pStyle w:val="Heading3"/>
        <w:spacing w:before="0"/>
        <w:rPr>
          <w:rFonts w:ascii="Public Sans" w:eastAsia="Helvetica" w:hAnsi="Public Sans"/>
          <w:b/>
          <w:color w:val="auto"/>
        </w:rPr>
      </w:pPr>
      <w:r w:rsidRPr="00771917">
        <w:rPr>
          <w:rFonts w:ascii="Public Sans" w:eastAsia="Helvetica" w:hAnsi="Public Sans"/>
          <w:b/>
          <w:color w:val="auto"/>
        </w:rPr>
        <w:t>Older people</w:t>
      </w:r>
    </w:p>
    <w:p w14:paraId="08DC033E" w14:textId="5D273BDE" w:rsidR="002F5F44" w:rsidRPr="005576E4" w:rsidRDefault="0036129A" w:rsidP="002F5F44">
      <w:pPr>
        <w:pStyle w:val="Body"/>
        <w:widowControl w:val="0"/>
        <w:spacing w:before="120" w:after="0" w:line="240" w:lineRule="auto"/>
        <w:rPr>
          <w:rFonts w:ascii="Public Sans" w:eastAsia="Helvetica" w:hAnsi="Public Sans" w:cs="Segoe UI"/>
        </w:rPr>
      </w:pPr>
      <w:r>
        <w:rPr>
          <w:rFonts w:ascii="Public Sans" w:eastAsia="Helvetica" w:hAnsi="Public Sans" w:cs="Segoe UI"/>
        </w:rPr>
        <w:t>Consistent with previous quarters, t</w:t>
      </w:r>
      <w:r w:rsidR="002F5F44" w:rsidRPr="005576E4">
        <w:rPr>
          <w:rFonts w:ascii="Public Sans" w:eastAsia="Helvetica" w:hAnsi="Public Sans" w:cs="Segoe UI"/>
        </w:rPr>
        <w:t xml:space="preserve">he </w:t>
      </w:r>
      <w:proofErr w:type="gramStart"/>
      <w:r w:rsidR="002F5F44" w:rsidRPr="005576E4">
        <w:rPr>
          <w:rFonts w:ascii="Public Sans" w:eastAsia="Helvetica" w:hAnsi="Public Sans" w:cs="Segoe UI"/>
        </w:rPr>
        <w:t>most commonly reported</w:t>
      </w:r>
      <w:proofErr w:type="gramEnd"/>
      <w:r w:rsidR="002F5F44" w:rsidRPr="005576E4">
        <w:rPr>
          <w:rFonts w:ascii="Public Sans" w:eastAsia="Helvetica" w:hAnsi="Public Sans" w:cs="Segoe UI"/>
        </w:rPr>
        <w:t xml:space="preserve"> types of alleged abuse in relation to older people in </w:t>
      </w:r>
      <w:r w:rsidR="00045FBF">
        <w:rPr>
          <w:rFonts w:ascii="Public Sans" w:eastAsia="Helvetica" w:hAnsi="Public Sans" w:cs="Segoe UI"/>
        </w:rPr>
        <w:t>J</w:t>
      </w:r>
      <w:r w:rsidR="00201EC8">
        <w:rPr>
          <w:rFonts w:ascii="Public Sans" w:eastAsia="Helvetica" w:hAnsi="Public Sans" w:cs="Segoe UI"/>
        </w:rPr>
        <w:t>uly</w:t>
      </w:r>
      <w:r w:rsidR="0082703B">
        <w:rPr>
          <w:rFonts w:ascii="Public Sans" w:eastAsia="Helvetica" w:hAnsi="Public Sans" w:cs="Segoe UI"/>
        </w:rPr>
        <w:t xml:space="preserve"> </w:t>
      </w:r>
      <w:r w:rsidR="002F5F44" w:rsidRPr="005576E4">
        <w:rPr>
          <w:rFonts w:ascii="Public Sans" w:eastAsia="Helvetica" w:hAnsi="Public Sans" w:cs="Segoe UI"/>
        </w:rPr>
        <w:t xml:space="preserve">– </w:t>
      </w:r>
      <w:r w:rsidR="00201EC8">
        <w:rPr>
          <w:rFonts w:ascii="Public Sans" w:eastAsia="Helvetica" w:hAnsi="Public Sans" w:cs="Segoe UI"/>
        </w:rPr>
        <w:t>September</w:t>
      </w:r>
      <w:r w:rsidR="002F5F44" w:rsidRPr="005576E4">
        <w:rPr>
          <w:rFonts w:ascii="Public Sans" w:eastAsia="Helvetica" w:hAnsi="Public Sans" w:cs="Segoe UI"/>
        </w:rPr>
        <w:t xml:space="preserve"> 202</w:t>
      </w:r>
      <w:r w:rsidR="00045FBF">
        <w:rPr>
          <w:rFonts w:ascii="Public Sans" w:eastAsia="Helvetica" w:hAnsi="Public Sans" w:cs="Segoe UI"/>
        </w:rPr>
        <w:t>3</w:t>
      </w:r>
      <w:r w:rsidR="002F5F44" w:rsidRPr="005576E4">
        <w:rPr>
          <w:rFonts w:ascii="Public Sans" w:eastAsia="Helvetica" w:hAnsi="Public Sans" w:cs="Segoe UI"/>
        </w:rPr>
        <w:t xml:space="preserve"> were psychological abuse and </w:t>
      </w:r>
      <w:r w:rsidR="00537A2D">
        <w:rPr>
          <w:rFonts w:ascii="Public Sans" w:eastAsia="Helvetica" w:hAnsi="Public Sans" w:cs="Segoe UI"/>
        </w:rPr>
        <w:t>financial abuse</w:t>
      </w:r>
      <w:r w:rsidR="002F5F44" w:rsidRPr="005576E4">
        <w:rPr>
          <w:rFonts w:ascii="Public Sans" w:eastAsia="Helvetica" w:hAnsi="Public Sans" w:cs="Segoe UI"/>
        </w:rPr>
        <w:t xml:space="preserve">. </w:t>
      </w:r>
    </w:p>
    <w:p w14:paraId="7B7510BA" w14:textId="77777777" w:rsidR="002F5F44" w:rsidRPr="005576E4" w:rsidRDefault="002F5F44" w:rsidP="002F5F44">
      <w:pPr>
        <w:pStyle w:val="Body"/>
        <w:widowControl w:val="0"/>
        <w:spacing w:after="0" w:line="240" w:lineRule="auto"/>
        <w:rPr>
          <w:rFonts w:ascii="Public Sans" w:eastAsia="Helvetica" w:hAnsi="Public Sans" w:cs="Segoe UI"/>
          <w:sz w:val="20"/>
        </w:rPr>
      </w:pPr>
    </w:p>
    <w:p w14:paraId="550F9A0B" w14:textId="359A06D6" w:rsidR="002F5F44" w:rsidRDefault="00234D13" w:rsidP="002F5F44">
      <w:pPr>
        <w:pStyle w:val="Body"/>
        <w:widowControl w:val="0"/>
        <w:spacing w:after="0" w:line="240" w:lineRule="auto"/>
        <w:rPr>
          <w:rFonts w:ascii="Public Sans" w:eastAsia="Helvetica" w:hAnsi="Public Sans" w:cs="Segoe UI"/>
          <w:b/>
          <w:sz w:val="18"/>
        </w:rPr>
      </w:pPr>
      <w:r w:rsidRPr="000E2FD4">
        <w:rPr>
          <w:rFonts w:ascii="Public Sans" w:eastAsia="Helvetica" w:hAnsi="Public Sans" w:cs="Segoe UI"/>
          <w:b/>
          <w:sz w:val="18"/>
        </w:rPr>
        <w:t>Figure 12</w:t>
      </w:r>
      <w:r w:rsidR="002F5F44" w:rsidRPr="000E2FD4">
        <w:rPr>
          <w:rFonts w:ascii="Public Sans" w:eastAsia="Helvetica" w:hAnsi="Public Sans" w:cs="Segoe UI"/>
          <w:b/>
          <w:sz w:val="18"/>
        </w:rPr>
        <w:t xml:space="preserve">: Number of allegations in reports to the ADC about older people, by abuse type, </w:t>
      </w:r>
      <w:r w:rsidR="00045FBF">
        <w:rPr>
          <w:rFonts w:ascii="Public Sans" w:eastAsia="Helvetica" w:hAnsi="Public Sans" w:cs="Segoe UI"/>
          <w:b/>
          <w:sz w:val="18"/>
        </w:rPr>
        <w:t>J</w:t>
      </w:r>
      <w:r w:rsidR="00201EC8">
        <w:rPr>
          <w:rFonts w:ascii="Public Sans" w:eastAsia="Helvetica" w:hAnsi="Public Sans" w:cs="Segoe UI"/>
          <w:b/>
          <w:sz w:val="18"/>
        </w:rPr>
        <w:t>uly</w:t>
      </w:r>
      <w:r w:rsidR="000E2FD4">
        <w:rPr>
          <w:rFonts w:ascii="Public Sans" w:eastAsia="Helvetica" w:hAnsi="Public Sans" w:cs="Segoe UI"/>
          <w:b/>
          <w:sz w:val="18"/>
        </w:rPr>
        <w:t>-</w:t>
      </w:r>
      <w:r w:rsidR="00201EC8">
        <w:rPr>
          <w:rFonts w:ascii="Public Sans" w:eastAsia="Helvetica" w:hAnsi="Public Sans" w:cs="Segoe UI"/>
          <w:b/>
          <w:sz w:val="18"/>
        </w:rPr>
        <w:t>Sept</w:t>
      </w:r>
      <w:r w:rsidR="002F5F44" w:rsidRPr="000E2FD4">
        <w:rPr>
          <w:rFonts w:ascii="Public Sans" w:eastAsia="Helvetica" w:hAnsi="Public Sans" w:cs="Segoe UI"/>
          <w:b/>
          <w:sz w:val="18"/>
        </w:rPr>
        <w:t xml:space="preserve"> 202</w:t>
      </w:r>
      <w:r w:rsidR="00045FBF">
        <w:rPr>
          <w:rFonts w:ascii="Public Sans" w:eastAsia="Helvetica" w:hAnsi="Public Sans" w:cs="Segoe UI"/>
          <w:b/>
          <w:sz w:val="18"/>
        </w:rPr>
        <w:t>3</w:t>
      </w:r>
    </w:p>
    <w:p w14:paraId="5295762E" w14:textId="1F995B4D" w:rsidR="003B64C2" w:rsidRDefault="00201EC8" w:rsidP="002F5F44">
      <w:pPr>
        <w:pStyle w:val="Body"/>
        <w:widowControl w:val="0"/>
        <w:spacing w:after="0" w:line="240" w:lineRule="auto"/>
        <w:rPr>
          <w:rFonts w:ascii="Public Sans" w:eastAsia="Helvetica" w:hAnsi="Public Sans" w:cs="Segoe UI"/>
          <w:b/>
          <w:sz w:val="18"/>
        </w:rPr>
      </w:pPr>
      <w:r>
        <w:rPr>
          <w:noProof/>
        </w:rPr>
        <w:drawing>
          <wp:inline distT="0" distB="0" distL="0" distR="0" wp14:anchorId="595058E3" wp14:editId="44E140F5">
            <wp:extent cx="6048375" cy="1733550"/>
            <wp:effectExtent l="0" t="0" r="9525" b="0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9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4AE3A8EA" w14:textId="77777777" w:rsidR="003B64C2" w:rsidRPr="000E2FD4" w:rsidRDefault="003B64C2" w:rsidP="002F5F44">
      <w:pPr>
        <w:pStyle w:val="Body"/>
        <w:widowControl w:val="0"/>
        <w:spacing w:after="0" w:line="240" w:lineRule="auto"/>
        <w:rPr>
          <w:rFonts w:ascii="Public Sans" w:eastAsia="Helvetica" w:hAnsi="Public Sans" w:cs="Segoe UI"/>
          <w:b/>
          <w:sz w:val="18"/>
        </w:rPr>
      </w:pPr>
    </w:p>
    <w:p w14:paraId="1AD3E98F" w14:textId="77777777" w:rsidR="00F372AD" w:rsidRDefault="00F372AD" w:rsidP="002F5F44">
      <w:pPr>
        <w:pStyle w:val="Body"/>
        <w:widowControl w:val="0"/>
        <w:spacing w:after="0" w:line="240" w:lineRule="auto"/>
        <w:rPr>
          <w:rFonts w:ascii="Public Sans" w:eastAsia="Helvetica" w:hAnsi="Public Sans" w:cs="Segoe UI"/>
          <w:b/>
          <w:sz w:val="18"/>
        </w:rPr>
      </w:pPr>
    </w:p>
    <w:p w14:paraId="4EB3D08A" w14:textId="6554C48F" w:rsidR="002F5F44" w:rsidRPr="00AC1BF2" w:rsidRDefault="002F5F44" w:rsidP="002F5F44">
      <w:pPr>
        <w:pStyle w:val="Body"/>
        <w:widowControl w:val="0"/>
        <w:spacing w:after="0" w:line="240" w:lineRule="auto"/>
        <w:rPr>
          <w:rFonts w:ascii="Public Sans" w:eastAsia="Helvetica" w:hAnsi="Public Sans" w:cs="Segoe UI"/>
          <w:b/>
          <w:sz w:val="18"/>
        </w:rPr>
      </w:pPr>
      <w:r w:rsidRPr="00AC1BF2">
        <w:rPr>
          <w:rFonts w:ascii="Public Sans" w:eastAsia="Helvetica" w:hAnsi="Public Sans" w:cs="Segoe UI"/>
          <w:b/>
          <w:sz w:val="18"/>
        </w:rPr>
        <w:t xml:space="preserve">Table </w:t>
      </w:r>
      <w:r w:rsidR="00234D13" w:rsidRPr="00AC1BF2">
        <w:rPr>
          <w:rFonts w:ascii="Public Sans" w:eastAsia="Helvetica" w:hAnsi="Public Sans" w:cs="Segoe UI"/>
          <w:b/>
          <w:sz w:val="18"/>
        </w:rPr>
        <w:t>5</w:t>
      </w:r>
      <w:r w:rsidRPr="00AC1BF2">
        <w:rPr>
          <w:rFonts w:ascii="Public Sans" w:eastAsia="Helvetica" w:hAnsi="Public Sans" w:cs="Segoe UI"/>
          <w:b/>
          <w:sz w:val="18"/>
        </w:rPr>
        <w:t xml:space="preserve">: Type of alleged abuse of the older person in reports to the ADC, </w:t>
      </w:r>
      <w:r w:rsidR="001C5B12">
        <w:rPr>
          <w:rFonts w:ascii="Public Sans" w:eastAsia="Helvetica" w:hAnsi="Public Sans" w:cs="Segoe UI"/>
          <w:b/>
          <w:sz w:val="18"/>
        </w:rPr>
        <w:t>J</w:t>
      </w:r>
      <w:r w:rsidR="00201EC8">
        <w:rPr>
          <w:rFonts w:ascii="Public Sans" w:eastAsia="Helvetica" w:hAnsi="Public Sans" w:cs="Segoe UI"/>
          <w:b/>
          <w:sz w:val="18"/>
        </w:rPr>
        <w:t>uly</w:t>
      </w:r>
      <w:r w:rsidR="0082703B">
        <w:rPr>
          <w:rFonts w:ascii="Public Sans" w:eastAsia="Helvetica" w:hAnsi="Public Sans" w:cs="Segoe UI"/>
          <w:b/>
          <w:sz w:val="18"/>
        </w:rPr>
        <w:t>-</w:t>
      </w:r>
      <w:r w:rsidR="00201EC8">
        <w:rPr>
          <w:rFonts w:ascii="Public Sans" w:eastAsia="Helvetica" w:hAnsi="Public Sans" w:cs="Segoe UI"/>
          <w:b/>
          <w:sz w:val="18"/>
        </w:rPr>
        <w:t>Sept</w:t>
      </w:r>
      <w:r w:rsidRPr="00AC1BF2">
        <w:rPr>
          <w:rFonts w:ascii="Public Sans" w:eastAsia="Helvetica" w:hAnsi="Public Sans" w:cs="Segoe UI"/>
          <w:b/>
          <w:sz w:val="18"/>
        </w:rPr>
        <w:t xml:space="preserve"> 202</w:t>
      </w:r>
      <w:r w:rsidR="001C5B12">
        <w:rPr>
          <w:rFonts w:ascii="Public Sans" w:eastAsia="Helvetica" w:hAnsi="Public Sans" w:cs="Segoe UI"/>
          <w:b/>
          <w:sz w:val="18"/>
        </w:rPr>
        <w:t>3</w:t>
      </w:r>
      <w:r w:rsidRPr="00AC1BF2">
        <w:rPr>
          <w:rStyle w:val="FootnoteReference"/>
          <w:rFonts w:ascii="Public Sans" w:eastAsia="Helvetica" w:hAnsi="Public Sans" w:cs="Segoe UI"/>
          <w:b/>
          <w:sz w:val="18"/>
        </w:rPr>
        <w:footnoteReference w:id="6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38"/>
        <w:gridCol w:w="1345"/>
        <w:gridCol w:w="1345"/>
      </w:tblGrid>
      <w:tr w:rsidR="002F5F44" w:rsidRPr="005576E4" w14:paraId="70E0BB7F" w14:textId="77777777" w:rsidTr="0082703B">
        <w:tc>
          <w:tcPr>
            <w:tcW w:w="6938" w:type="dxa"/>
            <w:shd w:val="clear" w:color="auto" w:fill="A5CCDF"/>
          </w:tcPr>
          <w:p w14:paraId="635423CF" w14:textId="77777777" w:rsidR="002F5F44" w:rsidRPr="005576E4" w:rsidRDefault="002F5F44" w:rsidP="0064341B">
            <w:pPr>
              <w:widowControl w:val="0"/>
              <w:spacing w:after="0" w:line="240" w:lineRule="auto"/>
              <w:rPr>
                <w:rFonts w:ascii="Public Sans" w:eastAsia="Times New Roman" w:hAnsi="Public Sans" w:cs="Segoe UI"/>
                <w:b/>
                <w:color w:val="000000"/>
                <w:sz w:val="21"/>
                <w:szCs w:val="21"/>
                <w:u w:color="000000"/>
              </w:rPr>
            </w:pPr>
            <w:r w:rsidRPr="005576E4">
              <w:rPr>
                <w:rFonts w:ascii="Public Sans" w:eastAsia="Times New Roman" w:hAnsi="Public Sans" w:cs="Segoe UI"/>
                <w:b/>
                <w:color w:val="000000"/>
                <w:sz w:val="21"/>
                <w:szCs w:val="21"/>
                <w:u w:color="000000"/>
              </w:rPr>
              <w:t>Type of alleged abuse</w:t>
            </w:r>
          </w:p>
        </w:tc>
        <w:tc>
          <w:tcPr>
            <w:tcW w:w="1345" w:type="dxa"/>
            <w:shd w:val="clear" w:color="auto" w:fill="A5CCDF"/>
          </w:tcPr>
          <w:p w14:paraId="2DEEA8B2" w14:textId="77777777" w:rsidR="002F5F44" w:rsidRPr="005576E4" w:rsidRDefault="002F5F44" w:rsidP="0064341B">
            <w:pPr>
              <w:widowControl w:val="0"/>
              <w:spacing w:after="0" w:line="240" w:lineRule="auto"/>
              <w:jc w:val="right"/>
              <w:rPr>
                <w:rFonts w:ascii="Public Sans" w:eastAsia="Times New Roman" w:hAnsi="Public Sans" w:cs="Segoe UI"/>
                <w:b/>
                <w:color w:val="000000"/>
                <w:sz w:val="21"/>
                <w:szCs w:val="21"/>
                <w:u w:color="000000"/>
              </w:rPr>
            </w:pPr>
            <w:r w:rsidRPr="005576E4">
              <w:rPr>
                <w:rFonts w:ascii="Public Sans" w:eastAsia="Times New Roman" w:hAnsi="Public Sans" w:cs="Segoe UI"/>
                <w:b/>
                <w:color w:val="000000"/>
                <w:sz w:val="21"/>
                <w:szCs w:val="21"/>
                <w:u w:color="000000"/>
              </w:rPr>
              <w:t>Number of allegations</w:t>
            </w:r>
          </w:p>
        </w:tc>
        <w:tc>
          <w:tcPr>
            <w:tcW w:w="1345" w:type="dxa"/>
            <w:shd w:val="clear" w:color="auto" w:fill="A5CCDF"/>
          </w:tcPr>
          <w:p w14:paraId="37CA8F1A" w14:textId="77777777" w:rsidR="002F5F44" w:rsidRPr="005576E4" w:rsidRDefault="002F5F44" w:rsidP="0064341B">
            <w:pPr>
              <w:widowControl w:val="0"/>
              <w:spacing w:after="0" w:line="240" w:lineRule="auto"/>
              <w:jc w:val="right"/>
              <w:rPr>
                <w:rFonts w:ascii="Public Sans" w:eastAsia="Times New Roman" w:hAnsi="Public Sans" w:cs="Segoe UI"/>
                <w:b/>
                <w:color w:val="000000"/>
                <w:sz w:val="21"/>
                <w:szCs w:val="21"/>
                <w:u w:color="000000"/>
              </w:rPr>
            </w:pPr>
            <w:r w:rsidRPr="005576E4">
              <w:rPr>
                <w:rFonts w:ascii="Public Sans" w:eastAsia="Times New Roman" w:hAnsi="Public Sans" w:cs="Segoe UI"/>
                <w:b/>
                <w:color w:val="000000"/>
                <w:sz w:val="21"/>
                <w:szCs w:val="21"/>
                <w:u w:color="000000"/>
              </w:rPr>
              <w:t>% of all allegations</w:t>
            </w:r>
          </w:p>
        </w:tc>
      </w:tr>
      <w:tr w:rsidR="002F5F44" w:rsidRPr="005576E4" w14:paraId="3B723BF2" w14:textId="77777777" w:rsidTr="0082703B">
        <w:tc>
          <w:tcPr>
            <w:tcW w:w="6938" w:type="dxa"/>
          </w:tcPr>
          <w:p w14:paraId="7885FC48" w14:textId="77777777" w:rsidR="002F5F44" w:rsidRPr="005576E4" w:rsidRDefault="002F5F44" w:rsidP="0064341B">
            <w:pPr>
              <w:widowControl w:val="0"/>
              <w:spacing w:after="0" w:line="240" w:lineRule="auto"/>
              <w:rPr>
                <w:rFonts w:ascii="Public Sans" w:eastAsia="Times New Roman" w:hAnsi="Public Sans" w:cs="Segoe UI"/>
                <w:b/>
                <w:color w:val="000000"/>
                <w:sz w:val="21"/>
                <w:szCs w:val="21"/>
                <w:u w:color="000000"/>
              </w:rPr>
            </w:pPr>
            <w:r w:rsidRPr="005576E4">
              <w:rPr>
                <w:rFonts w:ascii="Public Sans" w:eastAsia="Times New Roman" w:hAnsi="Public Sans" w:cs="Segoe UI"/>
                <w:b/>
                <w:color w:val="000000"/>
                <w:sz w:val="21"/>
                <w:szCs w:val="21"/>
                <w:u w:color="000000"/>
              </w:rPr>
              <w:t xml:space="preserve">Psychological abuse </w:t>
            </w:r>
          </w:p>
          <w:p w14:paraId="472C4DD1" w14:textId="77777777" w:rsidR="002F5F44" w:rsidRPr="005576E4" w:rsidRDefault="002F5F44" w:rsidP="0064341B">
            <w:pPr>
              <w:widowControl w:val="0"/>
              <w:spacing w:after="0" w:line="240" w:lineRule="auto"/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</w:pPr>
          </w:p>
          <w:p w14:paraId="09B227EA" w14:textId="0D67C353" w:rsidR="002F5F44" w:rsidRPr="005576E4" w:rsidRDefault="002F5F44" w:rsidP="0064341B">
            <w:pPr>
              <w:widowControl w:val="0"/>
              <w:spacing w:after="0" w:line="240" w:lineRule="auto"/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</w:pPr>
            <w:r w:rsidRPr="005576E4"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 xml:space="preserve">(Mainly verbal abuse; and </w:t>
            </w:r>
            <w:r w:rsidR="007C5F56"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>making excessive or degrading demands</w:t>
            </w:r>
            <w:r w:rsidRPr="005576E4"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>)</w:t>
            </w:r>
          </w:p>
        </w:tc>
        <w:tc>
          <w:tcPr>
            <w:tcW w:w="1345" w:type="dxa"/>
          </w:tcPr>
          <w:p w14:paraId="12B1FF72" w14:textId="1490F36E" w:rsidR="002F5F44" w:rsidRPr="005576E4" w:rsidRDefault="00201EC8" w:rsidP="0064341B">
            <w:pPr>
              <w:widowControl w:val="0"/>
              <w:spacing w:after="0" w:line="240" w:lineRule="auto"/>
              <w:jc w:val="right"/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</w:pPr>
            <w:r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>599</w:t>
            </w:r>
          </w:p>
        </w:tc>
        <w:tc>
          <w:tcPr>
            <w:tcW w:w="1345" w:type="dxa"/>
          </w:tcPr>
          <w:p w14:paraId="51A17E2C" w14:textId="4BF269A3" w:rsidR="002F5F44" w:rsidRPr="005576E4" w:rsidRDefault="00201EC8" w:rsidP="00FD6731">
            <w:pPr>
              <w:widowControl w:val="0"/>
              <w:spacing w:after="0" w:line="240" w:lineRule="auto"/>
              <w:jc w:val="right"/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</w:pPr>
            <w:r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>36.1</w:t>
            </w:r>
          </w:p>
        </w:tc>
      </w:tr>
      <w:tr w:rsidR="00537A2D" w:rsidRPr="005576E4" w14:paraId="5D6A3458" w14:textId="77777777" w:rsidTr="0082703B">
        <w:tc>
          <w:tcPr>
            <w:tcW w:w="6938" w:type="dxa"/>
          </w:tcPr>
          <w:p w14:paraId="28728437" w14:textId="77777777" w:rsidR="00537A2D" w:rsidRPr="005576E4" w:rsidRDefault="00537A2D" w:rsidP="00537A2D">
            <w:pPr>
              <w:widowControl w:val="0"/>
              <w:spacing w:after="0" w:line="240" w:lineRule="auto"/>
              <w:rPr>
                <w:rFonts w:ascii="Public Sans" w:eastAsia="Times New Roman" w:hAnsi="Public Sans" w:cs="Segoe UI"/>
                <w:b/>
                <w:color w:val="000000"/>
                <w:sz w:val="21"/>
                <w:szCs w:val="21"/>
                <w:u w:color="000000"/>
              </w:rPr>
            </w:pPr>
            <w:r w:rsidRPr="005576E4">
              <w:rPr>
                <w:rFonts w:ascii="Public Sans" w:eastAsia="Times New Roman" w:hAnsi="Public Sans" w:cs="Segoe UI"/>
                <w:b/>
                <w:color w:val="000000"/>
                <w:sz w:val="21"/>
                <w:szCs w:val="21"/>
                <w:u w:color="000000"/>
              </w:rPr>
              <w:t>Financial abuse</w:t>
            </w:r>
          </w:p>
          <w:p w14:paraId="4C46E887" w14:textId="77777777" w:rsidR="00537A2D" w:rsidRPr="005576E4" w:rsidRDefault="00537A2D" w:rsidP="00537A2D">
            <w:pPr>
              <w:widowControl w:val="0"/>
              <w:spacing w:after="0" w:line="240" w:lineRule="auto"/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</w:pPr>
          </w:p>
          <w:p w14:paraId="575365DF" w14:textId="77777777" w:rsidR="00537A2D" w:rsidRPr="005576E4" w:rsidRDefault="00537A2D" w:rsidP="001C5B12">
            <w:pPr>
              <w:widowControl w:val="0"/>
              <w:spacing w:after="0" w:line="240" w:lineRule="auto"/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</w:pPr>
            <w:r w:rsidRPr="005576E4"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 xml:space="preserve">(Mainly financial exploitation; </w:t>
            </w:r>
            <w:r w:rsidR="001C5B12" w:rsidRPr="005576E4"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>misuse of Power of Attorney/ Enduring POA</w:t>
            </w:r>
            <w:r w:rsidR="001C5B12"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 xml:space="preserve">; and </w:t>
            </w:r>
            <w:r w:rsidR="00317399"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>theft</w:t>
            </w:r>
            <w:r w:rsidRPr="005576E4"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>)</w:t>
            </w:r>
          </w:p>
        </w:tc>
        <w:tc>
          <w:tcPr>
            <w:tcW w:w="1345" w:type="dxa"/>
          </w:tcPr>
          <w:p w14:paraId="35780C41" w14:textId="00AE42F5" w:rsidR="00537A2D" w:rsidRPr="005576E4" w:rsidRDefault="00201EC8" w:rsidP="00537A2D">
            <w:pPr>
              <w:widowControl w:val="0"/>
              <w:spacing w:after="0" w:line="240" w:lineRule="auto"/>
              <w:jc w:val="right"/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</w:pPr>
            <w:r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>560</w:t>
            </w:r>
          </w:p>
        </w:tc>
        <w:tc>
          <w:tcPr>
            <w:tcW w:w="1345" w:type="dxa"/>
          </w:tcPr>
          <w:p w14:paraId="597AF733" w14:textId="3E952517" w:rsidR="00537A2D" w:rsidRPr="005576E4" w:rsidRDefault="00201EC8" w:rsidP="00537A2D">
            <w:pPr>
              <w:widowControl w:val="0"/>
              <w:spacing w:after="0" w:line="240" w:lineRule="auto"/>
              <w:jc w:val="right"/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</w:pPr>
            <w:r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>33.8</w:t>
            </w:r>
          </w:p>
        </w:tc>
      </w:tr>
      <w:tr w:rsidR="0082703B" w:rsidRPr="005576E4" w14:paraId="1936B814" w14:textId="77777777" w:rsidTr="0082703B">
        <w:tc>
          <w:tcPr>
            <w:tcW w:w="6938" w:type="dxa"/>
          </w:tcPr>
          <w:p w14:paraId="4E67057C" w14:textId="77777777" w:rsidR="0082703B" w:rsidRPr="005576E4" w:rsidRDefault="0082703B" w:rsidP="0082703B">
            <w:pPr>
              <w:widowControl w:val="0"/>
              <w:spacing w:after="0" w:line="240" w:lineRule="auto"/>
              <w:rPr>
                <w:rFonts w:ascii="Public Sans" w:eastAsia="Times New Roman" w:hAnsi="Public Sans" w:cs="Segoe UI"/>
                <w:b/>
                <w:color w:val="000000"/>
                <w:sz w:val="21"/>
                <w:szCs w:val="21"/>
                <w:u w:color="000000"/>
              </w:rPr>
            </w:pPr>
            <w:r w:rsidRPr="005576E4">
              <w:rPr>
                <w:rFonts w:ascii="Public Sans" w:eastAsia="Times New Roman" w:hAnsi="Public Sans" w:cs="Segoe UI"/>
                <w:b/>
                <w:color w:val="000000"/>
                <w:sz w:val="21"/>
                <w:szCs w:val="21"/>
                <w:u w:color="000000"/>
              </w:rPr>
              <w:lastRenderedPageBreak/>
              <w:t>Neglect</w:t>
            </w:r>
          </w:p>
          <w:p w14:paraId="614A4701" w14:textId="77777777" w:rsidR="0082703B" w:rsidRPr="005576E4" w:rsidRDefault="0082703B" w:rsidP="0082703B">
            <w:pPr>
              <w:widowControl w:val="0"/>
              <w:spacing w:after="0" w:line="240" w:lineRule="auto"/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</w:pPr>
          </w:p>
          <w:p w14:paraId="7992CCD9" w14:textId="77777777" w:rsidR="0082703B" w:rsidRPr="005576E4" w:rsidRDefault="0082703B" w:rsidP="0082703B">
            <w:pPr>
              <w:widowControl w:val="0"/>
              <w:spacing w:after="0" w:line="240" w:lineRule="auto"/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</w:pPr>
            <w:r w:rsidRPr="005576E4"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>(Mainly failure to meet the person’s support needs; and medical neglect)</w:t>
            </w:r>
          </w:p>
        </w:tc>
        <w:tc>
          <w:tcPr>
            <w:tcW w:w="1345" w:type="dxa"/>
          </w:tcPr>
          <w:p w14:paraId="0FC998B8" w14:textId="69B95790" w:rsidR="0082703B" w:rsidRPr="005576E4" w:rsidRDefault="00201EC8" w:rsidP="00201EC8">
            <w:pPr>
              <w:widowControl w:val="0"/>
              <w:spacing w:after="0" w:line="240" w:lineRule="auto"/>
              <w:jc w:val="right"/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</w:pPr>
            <w:r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>361</w:t>
            </w:r>
          </w:p>
        </w:tc>
        <w:tc>
          <w:tcPr>
            <w:tcW w:w="1345" w:type="dxa"/>
          </w:tcPr>
          <w:p w14:paraId="43F4964C" w14:textId="0CF20E5B" w:rsidR="0082703B" w:rsidRPr="005576E4" w:rsidRDefault="00201EC8" w:rsidP="0082703B">
            <w:pPr>
              <w:widowControl w:val="0"/>
              <w:spacing w:after="0" w:line="240" w:lineRule="auto"/>
              <w:jc w:val="right"/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</w:pPr>
            <w:r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>21.8</w:t>
            </w:r>
          </w:p>
        </w:tc>
      </w:tr>
      <w:tr w:rsidR="002F5F44" w:rsidRPr="005576E4" w14:paraId="7E91FF86" w14:textId="77777777" w:rsidTr="0082703B">
        <w:tc>
          <w:tcPr>
            <w:tcW w:w="6938" w:type="dxa"/>
          </w:tcPr>
          <w:p w14:paraId="6340A244" w14:textId="77777777" w:rsidR="002F5F44" w:rsidRPr="005576E4" w:rsidRDefault="002F5F44" w:rsidP="0064341B">
            <w:pPr>
              <w:widowControl w:val="0"/>
              <w:spacing w:after="0" w:line="240" w:lineRule="auto"/>
              <w:rPr>
                <w:rFonts w:ascii="Public Sans" w:eastAsia="Times New Roman" w:hAnsi="Public Sans" w:cs="Segoe UI"/>
                <w:b/>
                <w:color w:val="000000"/>
                <w:sz w:val="21"/>
                <w:szCs w:val="21"/>
                <w:u w:color="000000"/>
              </w:rPr>
            </w:pPr>
            <w:r w:rsidRPr="005576E4">
              <w:rPr>
                <w:rFonts w:ascii="Public Sans" w:eastAsia="Times New Roman" w:hAnsi="Public Sans" w:cs="Segoe UI"/>
                <w:b/>
                <w:color w:val="000000"/>
                <w:sz w:val="21"/>
                <w:szCs w:val="21"/>
                <w:u w:color="000000"/>
              </w:rPr>
              <w:t>Physical abuse</w:t>
            </w:r>
          </w:p>
          <w:p w14:paraId="419E0416" w14:textId="77777777" w:rsidR="002F5F44" w:rsidRPr="005576E4" w:rsidRDefault="002F5F44" w:rsidP="0064341B">
            <w:pPr>
              <w:widowControl w:val="0"/>
              <w:spacing w:after="0" w:line="240" w:lineRule="auto"/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</w:pPr>
          </w:p>
          <w:p w14:paraId="660FA3B8" w14:textId="766821B2" w:rsidR="002F5F44" w:rsidRPr="005576E4" w:rsidRDefault="002F5F44" w:rsidP="001C5B12">
            <w:pPr>
              <w:widowControl w:val="0"/>
              <w:spacing w:after="0" w:line="240" w:lineRule="auto"/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</w:pPr>
            <w:r w:rsidRPr="005576E4"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 xml:space="preserve">(Mainly </w:t>
            </w:r>
            <w:r w:rsidR="007C5F56"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>threat of harm</w:t>
            </w:r>
            <w:r w:rsidR="001C5B12"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 xml:space="preserve">; and </w:t>
            </w:r>
            <w:r w:rsidR="00886D64"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>hitting/kicking/</w:t>
            </w:r>
            <w:r w:rsidR="001C5B12"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 xml:space="preserve"> </w:t>
            </w:r>
            <w:r w:rsidR="00886D64"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>punching</w:t>
            </w:r>
            <w:r w:rsidRPr="005576E4"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>)</w:t>
            </w:r>
          </w:p>
        </w:tc>
        <w:tc>
          <w:tcPr>
            <w:tcW w:w="1345" w:type="dxa"/>
          </w:tcPr>
          <w:p w14:paraId="0108C0FC" w14:textId="0C31F274" w:rsidR="002F5F44" w:rsidRPr="005576E4" w:rsidRDefault="00201EC8" w:rsidP="0064341B">
            <w:pPr>
              <w:widowControl w:val="0"/>
              <w:spacing w:after="0" w:line="240" w:lineRule="auto"/>
              <w:jc w:val="right"/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</w:pPr>
            <w:r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>104</w:t>
            </w:r>
          </w:p>
        </w:tc>
        <w:tc>
          <w:tcPr>
            <w:tcW w:w="1345" w:type="dxa"/>
          </w:tcPr>
          <w:p w14:paraId="47E02FAE" w14:textId="2766D833" w:rsidR="002F5F44" w:rsidRPr="005576E4" w:rsidRDefault="00201EC8" w:rsidP="00FD6731">
            <w:pPr>
              <w:widowControl w:val="0"/>
              <w:spacing w:after="0" w:line="240" w:lineRule="auto"/>
              <w:jc w:val="right"/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</w:pPr>
            <w:r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>6.3</w:t>
            </w:r>
          </w:p>
        </w:tc>
      </w:tr>
      <w:tr w:rsidR="002F5F44" w:rsidRPr="005576E4" w14:paraId="726D551E" w14:textId="77777777" w:rsidTr="0082703B">
        <w:tc>
          <w:tcPr>
            <w:tcW w:w="6938" w:type="dxa"/>
          </w:tcPr>
          <w:p w14:paraId="4204B0C4" w14:textId="77777777" w:rsidR="002F5F44" w:rsidRPr="005576E4" w:rsidRDefault="002F5F44" w:rsidP="0064341B">
            <w:pPr>
              <w:widowControl w:val="0"/>
              <w:spacing w:after="0" w:line="240" w:lineRule="auto"/>
              <w:rPr>
                <w:rFonts w:ascii="Public Sans" w:eastAsia="Times New Roman" w:hAnsi="Public Sans" w:cs="Segoe UI"/>
                <w:b/>
                <w:color w:val="000000"/>
                <w:sz w:val="21"/>
                <w:szCs w:val="21"/>
                <w:u w:color="000000"/>
              </w:rPr>
            </w:pPr>
            <w:r w:rsidRPr="005576E4">
              <w:rPr>
                <w:rFonts w:ascii="Public Sans" w:eastAsia="Times New Roman" w:hAnsi="Public Sans" w:cs="Segoe UI"/>
                <w:b/>
                <w:color w:val="000000"/>
                <w:sz w:val="21"/>
                <w:szCs w:val="21"/>
                <w:u w:color="000000"/>
              </w:rPr>
              <w:t>Sexual abuse</w:t>
            </w:r>
          </w:p>
          <w:p w14:paraId="48FE170F" w14:textId="77777777" w:rsidR="002F5F44" w:rsidRPr="005576E4" w:rsidRDefault="002F5F44" w:rsidP="0064341B">
            <w:pPr>
              <w:widowControl w:val="0"/>
              <w:spacing w:after="0" w:line="240" w:lineRule="auto"/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</w:pPr>
          </w:p>
          <w:p w14:paraId="56C77BB4" w14:textId="5094B29A" w:rsidR="002F5F44" w:rsidRPr="005576E4" w:rsidRDefault="002F5F44" w:rsidP="00105A19">
            <w:pPr>
              <w:widowControl w:val="0"/>
              <w:spacing w:after="0" w:line="240" w:lineRule="auto"/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</w:pPr>
            <w:r w:rsidRPr="005576E4"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 xml:space="preserve">(Mainly </w:t>
            </w:r>
            <w:r w:rsidR="00741923" w:rsidRPr="0054426B"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 xml:space="preserve">sexual </w:t>
            </w:r>
            <w:r w:rsidRPr="0054426B"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>assault)</w:t>
            </w:r>
          </w:p>
        </w:tc>
        <w:tc>
          <w:tcPr>
            <w:tcW w:w="1345" w:type="dxa"/>
          </w:tcPr>
          <w:p w14:paraId="3DE19FC0" w14:textId="6B761490" w:rsidR="002F5F44" w:rsidRPr="005576E4" w:rsidRDefault="00201EC8" w:rsidP="0064341B">
            <w:pPr>
              <w:widowControl w:val="0"/>
              <w:spacing w:after="0" w:line="240" w:lineRule="auto"/>
              <w:jc w:val="right"/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</w:pPr>
            <w:r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>12</w:t>
            </w:r>
          </w:p>
        </w:tc>
        <w:tc>
          <w:tcPr>
            <w:tcW w:w="1345" w:type="dxa"/>
          </w:tcPr>
          <w:p w14:paraId="13BA7027" w14:textId="1A6F7312" w:rsidR="002F5F44" w:rsidRPr="005576E4" w:rsidRDefault="00201EC8" w:rsidP="0064341B">
            <w:pPr>
              <w:widowControl w:val="0"/>
              <w:spacing w:after="0" w:line="240" w:lineRule="auto"/>
              <w:jc w:val="right"/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</w:pPr>
            <w:r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>1.3</w:t>
            </w:r>
          </w:p>
        </w:tc>
      </w:tr>
      <w:tr w:rsidR="002F5F44" w:rsidRPr="005576E4" w14:paraId="67CC40A5" w14:textId="77777777" w:rsidTr="0082703B">
        <w:tc>
          <w:tcPr>
            <w:tcW w:w="6938" w:type="dxa"/>
          </w:tcPr>
          <w:p w14:paraId="69CF9190" w14:textId="77777777" w:rsidR="002F5F44" w:rsidRDefault="002F5F44" w:rsidP="0064341B">
            <w:pPr>
              <w:widowControl w:val="0"/>
              <w:spacing w:after="0" w:line="240" w:lineRule="auto"/>
              <w:rPr>
                <w:rFonts w:ascii="Public Sans" w:eastAsia="Times New Roman" w:hAnsi="Public Sans" w:cs="Segoe UI"/>
                <w:b/>
                <w:color w:val="000000"/>
                <w:sz w:val="21"/>
                <w:szCs w:val="21"/>
                <w:u w:color="000000"/>
              </w:rPr>
            </w:pPr>
            <w:r w:rsidRPr="005576E4">
              <w:rPr>
                <w:rFonts w:ascii="Public Sans" w:eastAsia="Times New Roman" w:hAnsi="Public Sans" w:cs="Segoe UI"/>
                <w:b/>
                <w:color w:val="000000"/>
                <w:sz w:val="21"/>
                <w:szCs w:val="21"/>
                <w:u w:color="000000"/>
              </w:rPr>
              <w:t>Other</w:t>
            </w:r>
          </w:p>
          <w:p w14:paraId="67674EA4" w14:textId="3EE81DE4" w:rsidR="000F7810" w:rsidRPr="005576E4" w:rsidRDefault="000F7810" w:rsidP="0064341B">
            <w:pPr>
              <w:widowControl w:val="0"/>
              <w:spacing w:after="0" w:line="240" w:lineRule="auto"/>
              <w:rPr>
                <w:rFonts w:ascii="Public Sans" w:eastAsia="Times New Roman" w:hAnsi="Public Sans" w:cs="Segoe UI"/>
                <w:b/>
                <w:color w:val="000000"/>
                <w:sz w:val="21"/>
                <w:szCs w:val="21"/>
                <w:u w:color="000000"/>
              </w:rPr>
            </w:pPr>
          </w:p>
        </w:tc>
        <w:tc>
          <w:tcPr>
            <w:tcW w:w="1345" w:type="dxa"/>
          </w:tcPr>
          <w:p w14:paraId="0140D567" w14:textId="0D67BCA4" w:rsidR="002F5F44" w:rsidRPr="005576E4" w:rsidRDefault="00201EC8" w:rsidP="0064341B">
            <w:pPr>
              <w:widowControl w:val="0"/>
              <w:spacing w:after="0" w:line="240" w:lineRule="auto"/>
              <w:jc w:val="right"/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</w:pPr>
            <w:r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>22</w:t>
            </w:r>
          </w:p>
        </w:tc>
        <w:tc>
          <w:tcPr>
            <w:tcW w:w="1345" w:type="dxa"/>
          </w:tcPr>
          <w:p w14:paraId="2F479282" w14:textId="7AA95FE7" w:rsidR="002F5F44" w:rsidRPr="005576E4" w:rsidRDefault="00201EC8" w:rsidP="00FD6731">
            <w:pPr>
              <w:widowControl w:val="0"/>
              <w:spacing w:after="0" w:line="240" w:lineRule="auto"/>
              <w:jc w:val="right"/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</w:pPr>
            <w:r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>0.7</w:t>
            </w:r>
          </w:p>
        </w:tc>
      </w:tr>
      <w:tr w:rsidR="002F5F44" w:rsidRPr="005576E4" w14:paraId="1B1714F2" w14:textId="77777777" w:rsidTr="0082703B">
        <w:tc>
          <w:tcPr>
            <w:tcW w:w="6938" w:type="dxa"/>
          </w:tcPr>
          <w:p w14:paraId="21D8E0DC" w14:textId="76AA0BAD" w:rsidR="000F7810" w:rsidRPr="005576E4" w:rsidRDefault="002F5F44" w:rsidP="000F7810">
            <w:pPr>
              <w:widowControl w:val="0"/>
              <w:spacing w:after="0" w:line="240" w:lineRule="auto"/>
              <w:rPr>
                <w:rFonts w:ascii="Public Sans" w:eastAsia="Times New Roman" w:hAnsi="Public Sans" w:cs="Segoe UI"/>
                <w:b/>
                <w:color w:val="000000"/>
                <w:sz w:val="21"/>
                <w:szCs w:val="21"/>
                <w:u w:color="000000"/>
              </w:rPr>
            </w:pPr>
            <w:r w:rsidRPr="005576E4">
              <w:rPr>
                <w:rFonts w:ascii="Public Sans" w:eastAsia="Times New Roman" w:hAnsi="Public Sans" w:cs="Segoe UI"/>
                <w:b/>
                <w:color w:val="000000"/>
                <w:sz w:val="21"/>
                <w:szCs w:val="21"/>
                <w:u w:color="000000"/>
              </w:rPr>
              <w:t>Total allegations in reports about older people</w:t>
            </w:r>
          </w:p>
        </w:tc>
        <w:tc>
          <w:tcPr>
            <w:tcW w:w="1345" w:type="dxa"/>
          </w:tcPr>
          <w:p w14:paraId="18370ABA" w14:textId="07E42D92" w:rsidR="002F5F44" w:rsidRPr="005576E4" w:rsidRDefault="00201EC8" w:rsidP="001243F3">
            <w:pPr>
              <w:widowControl w:val="0"/>
              <w:spacing w:after="0" w:line="240" w:lineRule="auto"/>
              <w:jc w:val="right"/>
              <w:rPr>
                <w:rFonts w:ascii="Public Sans" w:eastAsia="Times New Roman" w:hAnsi="Public Sans" w:cs="Segoe UI"/>
                <w:b/>
                <w:color w:val="000000"/>
                <w:sz w:val="21"/>
                <w:szCs w:val="21"/>
                <w:u w:color="000000"/>
              </w:rPr>
            </w:pPr>
            <w:r>
              <w:rPr>
                <w:rFonts w:ascii="Public Sans" w:eastAsia="Times New Roman" w:hAnsi="Public Sans" w:cs="Segoe UI"/>
                <w:b/>
                <w:color w:val="000000"/>
                <w:sz w:val="21"/>
                <w:szCs w:val="21"/>
                <w:u w:color="000000"/>
              </w:rPr>
              <w:t>1,658</w:t>
            </w:r>
          </w:p>
        </w:tc>
        <w:tc>
          <w:tcPr>
            <w:tcW w:w="1345" w:type="dxa"/>
          </w:tcPr>
          <w:p w14:paraId="12A33AE5" w14:textId="77777777" w:rsidR="002F5F44" w:rsidRPr="005576E4" w:rsidRDefault="002F5F44" w:rsidP="0064341B">
            <w:pPr>
              <w:widowControl w:val="0"/>
              <w:spacing w:after="0" w:line="240" w:lineRule="auto"/>
              <w:jc w:val="right"/>
              <w:rPr>
                <w:rFonts w:ascii="Public Sans" w:eastAsia="Times New Roman" w:hAnsi="Public Sans" w:cs="Segoe UI"/>
                <w:b/>
                <w:color w:val="000000"/>
                <w:sz w:val="21"/>
                <w:szCs w:val="21"/>
                <w:u w:color="000000"/>
              </w:rPr>
            </w:pPr>
            <w:r w:rsidRPr="005576E4">
              <w:rPr>
                <w:rFonts w:ascii="Public Sans" w:eastAsia="Times New Roman" w:hAnsi="Public Sans" w:cs="Segoe UI"/>
                <w:b/>
                <w:color w:val="000000"/>
                <w:sz w:val="21"/>
                <w:szCs w:val="21"/>
                <w:u w:color="000000"/>
              </w:rPr>
              <w:t>100</w:t>
            </w:r>
          </w:p>
        </w:tc>
      </w:tr>
    </w:tbl>
    <w:p w14:paraId="5F8B52C4" w14:textId="77777777" w:rsidR="002C200C" w:rsidRPr="005576E4" w:rsidRDefault="002C200C" w:rsidP="002F5F44">
      <w:pPr>
        <w:spacing w:after="0" w:line="240" w:lineRule="auto"/>
        <w:rPr>
          <w:rFonts w:ascii="Public Sans" w:hAnsi="Public Sans" w:cs="Segoe UI"/>
        </w:rPr>
      </w:pPr>
    </w:p>
    <w:p w14:paraId="7EF314A6" w14:textId="46531A27" w:rsidR="002F5F44" w:rsidRPr="005576E4" w:rsidRDefault="002F5F44" w:rsidP="00A53199">
      <w:pPr>
        <w:spacing w:before="120" w:after="0" w:line="240" w:lineRule="auto"/>
        <w:rPr>
          <w:rFonts w:ascii="Public Sans" w:hAnsi="Public Sans" w:cs="Segoe UI"/>
        </w:rPr>
      </w:pPr>
      <w:r w:rsidRPr="005576E4">
        <w:rPr>
          <w:rFonts w:ascii="Public Sans" w:hAnsi="Public Sans" w:cs="Segoe UI"/>
        </w:rPr>
        <w:t xml:space="preserve">The most common allegations reported in </w:t>
      </w:r>
      <w:r w:rsidRPr="00E33045">
        <w:rPr>
          <w:rFonts w:ascii="Public Sans" w:hAnsi="Public Sans" w:cs="Segoe UI"/>
        </w:rPr>
        <w:t>relation to older people</w:t>
      </w:r>
      <w:r w:rsidR="00E33045" w:rsidRPr="00E33045">
        <w:rPr>
          <w:rFonts w:ascii="Public Sans" w:hAnsi="Public Sans" w:cs="Segoe UI"/>
        </w:rPr>
        <w:t xml:space="preserve"> related to them</w:t>
      </w:r>
      <w:r w:rsidRPr="00E33045">
        <w:rPr>
          <w:rFonts w:ascii="Public Sans" w:hAnsi="Public Sans" w:cs="Segoe UI"/>
        </w:rPr>
        <w:t xml:space="preserve"> </w:t>
      </w:r>
      <w:r w:rsidR="00E33045" w:rsidRPr="00E33045">
        <w:rPr>
          <w:rFonts w:ascii="Public Sans" w:hAnsi="Public Sans" w:cs="Segoe UI"/>
        </w:rPr>
        <w:t>being financially exploited; b</w:t>
      </w:r>
      <w:r w:rsidRPr="00E33045">
        <w:rPr>
          <w:rFonts w:ascii="Public Sans" w:hAnsi="Public Sans" w:cs="Segoe UI"/>
        </w:rPr>
        <w:t xml:space="preserve">eing subject to verbal </w:t>
      </w:r>
      <w:r w:rsidR="00E33045" w:rsidRPr="00E33045">
        <w:rPr>
          <w:rFonts w:ascii="Public Sans" w:hAnsi="Public Sans" w:cs="Segoe UI"/>
        </w:rPr>
        <w:t xml:space="preserve">abuse and excessive or degrading demands; and </w:t>
      </w:r>
      <w:r w:rsidR="007C5F56">
        <w:rPr>
          <w:rFonts w:ascii="Public Sans" w:hAnsi="Public Sans" w:cs="Segoe UI"/>
        </w:rPr>
        <w:t>not having their support needs met</w:t>
      </w:r>
      <w:r w:rsidR="00E33045" w:rsidRPr="00E33045">
        <w:rPr>
          <w:rFonts w:ascii="Public Sans" w:hAnsi="Public Sans" w:cs="Segoe UI"/>
        </w:rPr>
        <w:t xml:space="preserve">. </w:t>
      </w:r>
    </w:p>
    <w:p w14:paraId="4E6C1047" w14:textId="77777777" w:rsidR="002F5F44" w:rsidRPr="005576E4" w:rsidRDefault="002F5F44" w:rsidP="002F5F44">
      <w:pPr>
        <w:spacing w:after="0" w:line="240" w:lineRule="auto"/>
        <w:rPr>
          <w:rFonts w:ascii="Public Sans" w:hAnsi="Public Sans" w:cs="Segoe UI"/>
        </w:rPr>
      </w:pPr>
    </w:p>
    <w:p w14:paraId="22B943E5" w14:textId="374634CD" w:rsidR="002F5F44" w:rsidRPr="00316B88" w:rsidRDefault="00234D13" w:rsidP="002F5F44">
      <w:pPr>
        <w:pStyle w:val="Body"/>
        <w:widowControl w:val="0"/>
        <w:spacing w:after="0" w:line="240" w:lineRule="auto"/>
        <w:rPr>
          <w:rFonts w:ascii="Public Sans" w:eastAsia="Helvetica" w:hAnsi="Public Sans" w:cs="Segoe UI"/>
          <w:b/>
          <w:sz w:val="18"/>
        </w:rPr>
      </w:pPr>
      <w:r w:rsidRPr="00316B88">
        <w:rPr>
          <w:rFonts w:ascii="Public Sans" w:eastAsia="Helvetica" w:hAnsi="Public Sans" w:cs="Segoe UI"/>
          <w:b/>
          <w:sz w:val="18"/>
        </w:rPr>
        <w:t>Table 6</w:t>
      </w:r>
      <w:r w:rsidR="002F5F44" w:rsidRPr="00316B88">
        <w:rPr>
          <w:rFonts w:ascii="Public Sans" w:eastAsia="Helvetica" w:hAnsi="Public Sans" w:cs="Segoe UI"/>
          <w:b/>
          <w:sz w:val="18"/>
        </w:rPr>
        <w:t>: Leading reported allegations in relation to older people,</w:t>
      </w:r>
      <w:r w:rsidR="00F52EF1">
        <w:rPr>
          <w:rFonts w:ascii="Public Sans" w:eastAsia="Helvetica" w:hAnsi="Public Sans" w:cs="Segoe UI"/>
          <w:b/>
          <w:sz w:val="18"/>
        </w:rPr>
        <w:t xml:space="preserve"> </w:t>
      </w:r>
      <w:r w:rsidR="000C2E33">
        <w:rPr>
          <w:rFonts w:ascii="Public Sans" w:eastAsia="Helvetica" w:hAnsi="Public Sans" w:cs="Segoe UI"/>
          <w:b/>
          <w:sz w:val="18"/>
        </w:rPr>
        <w:t>J</w:t>
      </w:r>
      <w:r w:rsidR="00C45966">
        <w:rPr>
          <w:rFonts w:ascii="Public Sans" w:eastAsia="Helvetica" w:hAnsi="Public Sans" w:cs="Segoe UI"/>
          <w:b/>
          <w:sz w:val="18"/>
        </w:rPr>
        <w:t>uly</w:t>
      </w:r>
      <w:r w:rsidR="00316B88" w:rsidRPr="00316B88">
        <w:rPr>
          <w:rFonts w:ascii="Public Sans" w:eastAsia="Helvetica" w:hAnsi="Public Sans" w:cs="Segoe UI"/>
          <w:b/>
          <w:sz w:val="18"/>
        </w:rPr>
        <w:t>-</w:t>
      </w:r>
      <w:r w:rsidR="00C45966">
        <w:rPr>
          <w:rFonts w:ascii="Public Sans" w:eastAsia="Helvetica" w:hAnsi="Public Sans" w:cs="Segoe UI"/>
          <w:b/>
          <w:sz w:val="18"/>
        </w:rPr>
        <w:t>Sept</w:t>
      </w:r>
      <w:r w:rsidR="002F5F44" w:rsidRPr="00316B88">
        <w:rPr>
          <w:rFonts w:ascii="Public Sans" w:eastAsia="Helvetica" w:hAnsi="Public Sans" w:cs="Segoe UI"/>
          <w:b/>
          <w:sz w:val="18"/>
        </w:rPr>
        <w:t xml:space="preserve"> 202</w:t>
      </w:r>
      <w:r w:rsidR="000C2E33">
        <w:rPr>
          <w:rFonts w:ascii="Public Sans" w:eastAsia="Helvetica" w:hAnsi="Public Sans" w:cs="Segoe UI"/>
          <w:b/>
          <w:sz w:val="18"/>
        </w:rPr>
        <w:t>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76"/>
        <w:gridCol w:w="7693"/>
        <w:gridCol w:w="1359"/>
      </w:tblGrid>
      <w:tr w:rsidR="002F5F44" w:rsidRPr="005576E4" w14:paraId="5F6B8022" w14:textId="77777777" w:rsidTr="00AF03FA">
        <w:tc>
          <w:tcPr>
            <w:tcW w:w="299" w:type="pct"/>
            <w:shd w:val="clear" w:color="auto" w:fill="A5CCDF"/>
          </w:tcPr>
          <w:p w14:paraId="386E6256" w14:textId="77777777" w:rsidR="002F5F44" w:rsidRPr="005576E4" w:rsidRDefault="002F5F44" w:rsidP="0064341B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1"/>
                <w:szCs w:val="21"/>
              </w:rPr>
            </w:pPr>
          </w:p>
        </w:tc>
        <w:tc>
          <w:tcPr>
            <w:tcW w:w="3995" w:type="pct"/>
            <w:shd w:val="clear" w:color="auto" w:fill="A5CCDF"/>
          </w:tcPr>
          <w:p w14:paraId="7DBF5548" w14:textId="77777777" w:rsidR="002F5F44" w:rsidRPr="005576E4" w:rsidRDefault="002F5F44" w:rsidP="0064341B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b/>
                <w:sz w:val="21"/>
                <w:szCs w:val="21"/>
              </w:rPr>
            </w:pPr>
            <w:r w:rsidRPr="005576E4">
              <w:rPr>
                <w:rFonts w:ascii="Public Sans" w:eastAsia="Helvetica" w:hAnsi="Public Sans" w:cs="Segoe UI"/>
                <w:b/>
                <w:sz w:val="21"/>
                <w:szCs w:val="21"/>
              </w:rPr>
              <w:t>Reported allegation</w:t>
            </w:r>
          </w:p>
        </w:tc>
        <w:tc>
          <w:tcPr>
            <w:tcW w:w="706" w:type="pct"/>
            <w:shd w:val="clear" w:color="auto" w:fill="A5CCDF"/>
          </w:tcPr>
          <w:p w14:paraId="30379568" w14:textId="77777777" w:rsidR="002F5F44" w:rsidRPr="005576E4" w:rsidRDefault="002F5F44" w:rsidP="0064341B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jc w:val="right"/>
              <w:rPr>
                <w:rFonts w:ascii="Public Sans" w:eastAsia="Helvetica" w:hAnsi="Public Sans" w:cs="Segoe UI"/>
                <w:b/>
                <w:sz w:val="21"/>
                <w:szCs w:val="21"/>
              </w:rPr>
            </w:pPr>
            <w:r w:rsidRPr="005576E4">
              <w:rPr>
                <w:rFonts w:ascii="Public Sans" w:eastAsia="Helvetica" w:hAnsi="Public Sans" w:cs="Segoe UI"/>
                <w:b/>
                <w:sz w:val="21"/>
                <w:szCs w:val="21"/>
              </w:rPr>
              <w:t>Number of cases</w:t>
            </w:r>
          </w:p>
        </w:tc>
      </w:tr>
      <w:tr w:rsidR="002F5F44" w:rsidRPr="005576E4" w14:paraId="677C4453" w14:textId="77777777" w:rsidTr="00AF03FA">
        <w:tc>
          <w:tcPr>
            <w:tcW w:w="299" w:type="pct"/>
          </w:tcPr>
          <w:p w14:paraId="3A1F91E3" w14:textId="77777777" w:rsidR="002F5F44" w:rsidRPr="005576E4" w:rsidRDefault="002F5F44" w:rsidP="0064341B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1"/>
                <w:szCs w:val="21"/>
              </w:rPr>
            </w:pPr>
            <w:r w:rsidRPr="005576E4">
              <w:rPr>
                <w:rFonts w:ascii="Public Sans" w:eastAsia="Helvetica" w:hAnsi="Public Sans" w:cs="Segoe UI"/>
                <w:sz w:val="21"/>
                <w:szCs w:val="21"/>
              </w:rPr>
              <w:t>1.</w:t>
            </w:r>
          </w:p>
        </w:tc>
        <w:tc>
          <w:tcPr>
            <w:tcW w:w="3995" w:type="pct"/>
          </w:tcPr>
          <w:p w14:paraId="682C7CC4" w14:textId="10D9BFAC" w:rsidR="002F5F44" w:rsidRPr="005576E4" w:rsidRDefault="005E6FF5" w:rsidP="00F60213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 xml:space="preserve">Financial exploitation   </w:t>
            </w:r>
          </w:p>
        </w:tc>
        <w:tc>
          <w:tcPr>
            <w:tcW w:w="706" w:type="pct"/>
          </w:tcPr>
          <w:p w14:paraId="0DBB5A1A" w14:textId="32721B3F" w:rsidR="002F5F44" w:rsidRPr="005576E4" w:rsidRDefault="005E6FF5" w:rsidP="0064341B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jc w:val="right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246</w:t>
            </w:r>
          </w:p>
        </w:tc>
      </w:tr>
      <w:tr w:rsidR="00316B88" w:rsidRPr="005576E4" w14:paraId="4B2864E6" w14:textId="77777777" w:rsidTr="00AF03FA">
        <w:tc>
          <w:tcPr>
            <w:tcW w:w="299" w:type="pct"/>
          </w:tcPr>
          <w:p w14:paraId="25561CCA" w14:textId="77777777" w:rsidR="00316B88" w:rsidRPr="005576E4" w:rsidRDefault="00C56545" w:rsidP="00316B88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2</w:t>
            </w:r>
            <w:r w:rsidR="00316B88" w:rsidRPr="005576E4">
              <w:rPr>
                <w:rFonts w:ascii="Public Sans" w:eastAsia="Helvetica" w:hAnsi="Public Sans" w:cs="Segoe UI"/>
                <w:sz w:val="21"/>
                <w:szCs w:val="21"/>
              </w:rPr>
              <w:t>.</w:t>
            </w:r>
          </w:p>
        </w:tc>
        <w:tc>
          <w:tcPr>
            <w:tcW w:w="3995" w:type="pct"/>
          </w:tcPr>
          <w:p w14:paraId="739B35CA" w14:textId="0C9AEE46" w:rsidR="00316B88" w:rsidRPr="005576E4" w:rsidRDefault="005E6FF5" w:rsidP="00A95244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Psychological abuse – v</w:t>
            </w:r>
            <w:r w:rsidRPr="005576E4">
              <w:rPr>
                <w:rFonts w:ascii="Public Sans" w:eastAsia="Helvetica" w:hAnsi="Public Sans" w:cs="Segoe UI"/>
                <w:sz w:val="21"/>
                <w:szCs w:val="21"/>
              </w:rPr>
              <w:t>erbal abuse</w:t>
            </w:r>
          </w:p>
        </w:tc>
        <w:tc>
          <w:tcPr>
            <w:tcW w:w="706" w:type="pct"/>
          </w:tcPr>
          <w:p w14:paraId="246B805E" w14:textId="1E01DFF3" w:rsidR="00316B88" w:rsidRPr="005576E4" w:rsidRDefault="005E6FF5" w:rsidP="00316B88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jc w:val="right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196</w:t>
            </w:r>
          </w:p>
        </w:tc>
      </w:tr>
      <w:tr w:rsidR="000C2E33" w:rsidRPr="005576E4" w14:paraId="228A04A4" w14:textId="77777777" w:rsidTr="00AF03FA">
        <w:tc>
          <w:tcPr>
            <w:tcW w:w="299" w:type="pct"/>
          </w:tcPr>
          <w:p w14:paraId="67B3A1B8" w14:textId="77777777" w:rsidR="000C2E33" w:rsidRDefault="000C2E33" w:rsidP="000C2E33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3.</w:t>
            </w:r>
          </w:p>
        </w:tc>
        <w:tc>
          <w:tcPr>
            <w:tcW w:w="3995" w:type="pct"/>
          </w:tcPr>
          <w:p w14:paraId="71500BB3" w14:textId="77777777" w:rsidR="000C2E33" w:rsidRPr="005576E4" w:rsidRDefault="000C2E33" w:rsidP="000C2E33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 xml:space="preserve">Neglect – failure to meet the adult’s support needs </w:t>
            </w:r>
          </w:p>
        </w:tc>
        <w:tc>
          <w:tcPr>
            <w:tcW w:w="706" w:type="pct"/>
          </w:tcPr>
          <w:p w14:paraId="26DDB589" w14:textId="2155CA9D" w:rsidR="000C2E33" w:rsidRPr="005576E4" w:rsidRDefault="005E6FF5" w:rsidP="000C2E33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jc w:val="right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155</w:t>
            </w:r>
          </w:p>
        </w:tc>
      </w:tr>
      <w:tr w:rsidR="000C2E33" w:rsidRPr="005576E4" w14:paraId="4D36D076" w14:textId="77777777" w:rsidTr="00AF03FA">
        <w:tc>
          <w:tcPr>
            <w:tcW w:w="299" w:type="pct"/>
          </w:tcPr>
          <w:p w14:paraId="23E0C013" w14:textId="77777777" w:rsidR="000C2E33" w:rsidRPr="005576E4" w:rsidRDefault="000C2E33" w:rsidP="000C2E33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4</w:t>
            </w:r>
            <w:r w:rsidRPr="005576E4">
              <w:rPr>
                <w:rFonts w:ascii="Public Sans" w:eastAsia="Helvetica" w:hAnsi="Public Sans" w:cs="Segoe UI"/>
                <w:sz w:val="21"/>
                <w:szCs w:val="21"/>
              </w:rPr>
              <w:t>.</w:t>
            </w:r>
          </w:p>
        </w:tc>
        <w:tc>
          <w:tcPr>
            <w:tcW w:w="3995" w:type="pct"/>
          </w:tcPr>
          <w:p w14:paraId="00357119" w14:textId="5C636FAC" w:rsidR="000C2E33" w:rsidRPr="005576E4" w:rsidRDefault="005E6FF5" w:rsidP="000C2E33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 xml:space="preserve">Psychological abuse – making excessive or degrading demands </w:t>
            </w:r>
          </w:p>
        </w:tc>
        <w:tc>
          <w:tcPr>
            <w:tcW w:w="706" w:type="pct"/>
          </w:tcPr>
          <w:p w14:paraId="1D40778B" w14:textId="00BFFE89" w:rsidR="000C2E33" w:rsidRPr="005576E4" w:rsidRDefault="005E6FF5" w:rsidP="000C2E33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jc w:val="right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120</w:t>
            </w:r>
          </w:p>
        </w:tc>
      </w:tr>
      <w:tr w:rsidR="000C2E33" w:rsidRPr="005576E4" w14:paraId="086F4056" w14:textId="77777777" w:rsidTr="00AF03FA">
        <w:tc>
          <w:tcPr>
            <w:tcW w:w="299" w:type="pct"/>
          </w:tcPr>
          <w:p w14:paraId="4AE8133C" w14:textId="77777777" w:rsidR="000C2E33" w:rsidRPr="005576E4" w:rsidRDefault="000C2E33" w:rsidP="000C2E33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5</w:t>
            </w:r>
            <w:r w:rsidRPr="005576E4">
              <w:rPr>
                <w:rFonts w:ascii="Public Sans" w:eastAsia="Helvetica" w:hAnsi="Public Sans" w:cs="Segoe UI"/>
                <w:sz w:val="21"/>
                <w:szCs w:val="21"/>
              </w:rPr>
              <w:t>.</w:t>
            </w:r>
          </w:p>
        </w:tc>
        <w:tc>
          <w:tcPr>
            <w:tcW w:w="3995" w:type="pct"/>
          </w:tcPr>
          <w:p w14:paraId="4436D2DE" w14:textId="162AAE56" w:rsidR="000C2E33" w:rsidRPr="005576E4" w:rsidRDefault="005E6FF5" w:rsidP="000C2E33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Financial abuse – m</w:t>
            </w:r>
            <w:r w:rsidRPr="005576E4">
              <w:rPr>
                <w:rFonts w:ascii="Public Sans" w:eastAsia="Helvetica" w:hAnsi="Public Sans" w:cs="Segoe UI"/>
                <w:sz w:val="21"/>
                <w:szCs w:val="21"/>
              </w:rPr>
              <w:t>isuse of Power of Attorney/ Enduring Power of Attorney</w:t>
            </w:r>
            <w:r>
              <w:rPr>
                <w:rFonts w:ascii="Public Sans" w:eastAsia="Helvetica" w:hAnsi="Public Sans" w:cs="Segoe UI"/>
                <w:sz w:val="21"/>
                <w:szCs w:val="21"/>
              </w:rPr>
              <w:t xml:space="preserve"> </w:t>
            </w:r>
          </w:p>
        </w:tc>
        <w:tc>
          <w:tcPr>
            <w:tcW w:w="706" w:type="pct"/>
          </w:tcPr>
          <w:p w14:paraId="064461F9" w14:textId="4ABB0B33" w:rsidR="000C2E33" w:rsidRPr="005576E4" w:rsidRDefault="005E6FF5" w:rsidP="000C2E33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jc w:val="right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106</w:t>
            </w:r>
          </w:p>
        </w:tc>
      </w:tr>
      <w:tr w:rsidR="000C2E33" w:rsidRPr="005576E4" w14:paraId="0EA1BFDF" w14:textId="77777777" w:rsidTr="00AF03FA">
        <w:tc>
          <w:tcPr>
            <w:tcW w:w="299" w:type="pct"/>
          </w:tcPr>
          <w:p w14:paraId="2F03E388" w14:textId="77777777" w:rsidR="000C2E33" w:rsidRPr="005576E4" w:rsidRDefault="000C2E33" w:rsidP="000C2E33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1"/>
                <w:szCs w:val="21"/>
              </w:rPr>
            </w:pPr>
            <w:r w:rsidRPr="005576E4">
              <w:rPr>
                <w:rFonts w:ascii="Public Sans" w:eastAsia="Helvetica" w:hAnsi="Public Sans" w:cs="Segoe UI"/>
                <w:sz w:val="21"/>
                <w:szCs w:val="21"/>
              </w:rPr>
              <w:t>6.</w:t>
            </w:r>
          </w:p>
        </w:tc>
        <w:tc>
          <w:tcPr>
            <w:tcW w:w="3995" w:type="pct"/>
          </w:tcPr>
          <w:p w14:paraId="433CAC67" w14:textId="6DC0048E" w:rsidR="000C2E33" w:rsidRPr="005576E4" w:rsidRDefault="005E6FF5" w:rsidP="000C2E33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Psychological abuse – preventing or restricting access to family/others</w:t>
            </w:r>
          </w:p>
        </w:tc>
        <w:tc>
          <w:tcPr>
            <w:tcW w:w="706" w:type="pct"/>
          </w:tcPr>
          <w:p w14:paraId="09AEB6A6" w14:textId="58FEE2EE" w:rsidR="000C2E33" w:rsidRPr="005576E4" w:rsidRDefault="005E6FF5" w:rsidP="000C2E33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jc w:val="right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105</w:t>
            </w:r>
          </w:p>
        </w:tc>
      </w:tr>
      <w:tr w:rsidR="000C2E33" w:rsidRPr="005576E4" w14:paraId="5BFEF438" w14:textId="77777777" w:rsidTr="00AF03FA">
        <w:tc>
          <w:tcPr>
            <w:tcW w:w="299" w:type="pct"/>
          </w:tcPr>
          <w:p w14:paraId="6E4A7F03" w14:textId="77777777" w:rsidR="000C2E33" w:rsidRPr="005576E4" w:rsidRDefault="000C2E33" w:rsidP="000C2E33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7</w:t>
            </w:r>
            <w:r w:rsidRPr="005576E4">
              <w:rPr>
                <w:rFonts w:ascii="Public Sans" w:eastAsia="Helvetica" w:hAnsi="Public Sans" w:cs="Segoe UI"/>
                <w:sz w:val="21"/>
                <w:szCs w:val="21"/>
              </w:rPr>
              <w:t>.</w:t>
            </w:r>
          </w:p>
        </w:tc>
        <w:tc>
          <w:tcPr>
            <w:tcW w:w="3995" w:type="pct"/>
          </w:tcPr>
          <w:p w14:paraId="3AF78E5A" w14:textId="77777777" w:rsidR="000C2E33" w:rsidRPr="005576E4" w:rsidRDefault="000C2E33" w:rsidP="000C2E33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Financial abuse – t</w:t>
            </w:r>
            <w:r w:rsidRPr="005576E4">
              <w:rPr>
                <w:rFonts w:ascii="Public Sans" w:eastAsia="Helvetica" w:hAnsi="Public Sans" w:cs="Segoe UI"/>
                <w:sz w:val="21"/>
                <w:szCs w:val="21"/>
              </w:rPr>
              <w:t>heft</w:t>
            </w:r>
          </w:p>
        </w:tc>
        <w:tc>
          <w:tcPr>
            <w:tcW w:w="706" w:type="pct"/>
          </w:tcPr>
          <w:p w14:paraId="461CDAB4" w14:textId="5E549316" w:rsidR="000C2E33" w:rsidRPr="005576E4" w:rsidRDefault="005E6FF5" w:rsidP="000C2E33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jc w:val="right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94</w:t>
            </w:r>
          </w:p>
        </w:tc>
      </w:tr>
      <w:tr w:rsidR="000C2E33" w:rsidRPr="005576E4" w14:paraId="42E3581B" w14:textId="77777777" w:rsidTr="00AF03FA">
        <w:tc>
          <w:tcPr>
            <w:tcW w:w="299" w:type="pct"/>
          </w:tcPr>
          <w:p w14:paraId="5EEBF776" w14:textId="77777777" w:rsidR="000C2E33" w:rsidRPr="005576E4" w:rsidRDefault="000C2E33" w:rsidP="000C2E33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8</w:t>
            </w:r>
            <w:r w:rsidRPr="005576E4">
              <w:rPr>
                <w:rFonts w:ascii="Public Sans" w:eastAsia="Helvetica" w:hAnsi="Public Sans" w:cs="Segoe UI"/>
                <w:sz w:val="21"/>
                <w:szCs w:val="21"/>
              </w:rPr>
              <w:t>.</w:t>
            </w:r>
          </w:p>
        </w:tc>
        <w:tc>
          <w:tcPr>
            <w:tcW w:w="3995" w:type="pct"/>
          </w:tcPr>
          <w:p w14:paraId="1D815205" w14:textId="651D6CD1" w:rsidR="000C2E33" w:rsidRPr="005576E4" w:rsidRDefault="00E33045" w:rsidP="000C2E33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 xml:space="preserve">Psychological abuse – preventing or restricting access to supports and services  </w:t>
            </w:r>
          </w:p>
        </w:tc>
        <w:tc>
          <w:tcPr>
            <w:tcW w:w="706" w:type="pct"/>
          </w:tcPr>
          <w:p w14:paraId="05344FBA" w14:textId="37ECA289" w:rsidR="000C2E33" w:rsidRPr="005576E4" w:rsidRDefault="00E33045" w:rsidP="000C2E33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jc w:val="right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71</w:t>
            </w:r>
          </w:p>
        </w:tc>
      </w:tr>
      <w:tr w:rsidR="000C2E33" w:rsidRPr="005576E4" w14:paraId="51FA127F" w14:textId="77777777" w:rsidTr="00AF03FA">
        <w:tc>
          <w:tcPr>
            <w:tcW w:w="299" w:type="pct"/>
          </w:tcPr>
          <w:p w14:paraId="26B7CCDE" w14:textId="77777777" w:rsidR="000C2E33" w:rsidRPr="005576E4" w:rsidRDefault="000C2E33" w:rsidP="000C2E33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9</w:t>
            </w:r>
            <w:r w:rsidRPr="005576E4">
              <w:rPr>
                <w:rFonts w:ascii="Public Sans" w:eastAsia="Helvetica" w:hAnsi="Public Sans" w:cs="Segoe UI"/>
                <w:sz w:val="21"/>
                <w:szCs w:val="21"/>
              </w:rPr>
              <w:t>.</w:t>
            </w:r>
          </w:p>
        </w:tc>
        <w:tc>
          <w:tcPr>
            <w:tcW w:w="3995" w:type="pct"/>
          </w:tcPr>
          <w:p w14:paraId="743B17F1" w14:textId="34E47494" w:rsidR="000C2E33" w:rsidRPr="005576E4" w:rsidRDefault="00E33045" w:rsidP="000C2E33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Neglect – medical care</w:t>
            </w:r>
          </w:p>
        </w:tc>
        <w:tc>
          <w:tcPr>
            <w:tcW w:w="706" w:type="pct"/>
          </w:tcPr>
          <w:p w14:paraId="1A127AB4" w14:textId="660A7511" w:rsidR="000C2E33" w:rsidRPr="005576E4" w:rsidRDefault="00E33045" w:rsidP="000C2E33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jc w:val="right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68</w:t>
            </w:r>
          </w:p>
        </w:tc>
      </w:tr>
      <w:tr w:rsidR="000C2E33" w:rsidRPr="005576E4" w14:paraId="06552A1F" w14:textId="77777777" w:rsidTr="00AF03FA">
        <w:tc>
          <w:tcPr>
            <w:tcW w:w="299" w:type="pct"/>
          </w:tcPr>
          <w:p w14:paraId="01A47A71" w14:textId="77777777" w:rsidR="000C2E33" w:rsidRPr="005576E4" w:rsidRDefault="000C2E33" w:rsidP="000C2E33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10</w:t>
            </w:r>
            <w:r w:rsidRPr="005576E4">
              <w:rPr>
                <w:rFonts w:ascii="Public Sans" w:eastAsia="Helvetica" w:hAnsi="Public Sans" w:cs="Segoe UI"/>
                <w:sz w:val="21"/>
                <w:szCs w:val="21"/>
              </w:rPr>
              <w:t>.</w:t>
            </w:r>
          </w:p>
        </w:tc>
        <w:tc>
          <w:tcPr>
            <w:tcW w:w="3995" w:type="pct"/>
          </w:tcPr>
          <w:p w14:paraId="1DF9EE89" w14:textId="3A20C4CD" w:rsidR="000C2E33" w:rsidRPr="005576E4" w:rsidRDefault="00E33045" w:rsidP="000C2E33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Psychological abuse – other psychological abuse</w:t>
            </w:r>
          </w:p>
        </w:tc>
        <w:tc>
          <w:tcPr>
            <w:tcW w:w="706" w:type="pct"/>
          </w:tcPr>
          <w:p w14:paraId="1840BB11" w14:textId="7F7EF4AC" w:rsidR="000C2E33" w:rsidRPr="005576E4" w:rsidRDefault="00E33045" w:rsidP="000C2E33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jc w:val="right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64</w:t>
            </w:r>
          </w:p>
        </w:tc>
      </w:tr>
    </w:tbl>
    <w:p w14:paraId="0C3DA62B" w14:textId="330B9061" w:rsidR="00AE44F1" w:rsidRDefault="00AE44F1" w:rsidP="00D915DF">
      <w:pPr>
        <w:spacing w:after="0"/>
        <w:rPr>
          <w:rFonts w:ascii="Public Sans" w:eastAsia="Helvetica" w:hAnsi="Public Sans"/>
        </w:rPr>
      </w:pPr>
    </w:p>
    <w:p w14:paraId="341C729C" w14:textId="77777777" w:rsidR="00A53199" w:rsidRDefault="00A53199" w:rsidP="00D915DF">
      <w:pPr>
        <w:spacing w:after="0"/>
        <w:rPr>
          <w:rFonts w:ascii="Public Sans" w:eastAsia="Helvetica" w:hAnsi="Public Sans"/>
        </w:rPr>
      </w:pPr>
    </w:p>
    <w:p w14:paraId="4265A898" w14:textId="77777777" w:rsidR="00936332" w:rsidRPr="002F7582" w:rsidRDefault="00936332" w:rsidP="00936332">
      <w:pPr>
        <w:pStyle w:val="Heading2"/>
        <w:spacing w:before="0"/>
        <w:rPr>
          <w:rFonts w:ascii="Public Sans" w:eastAsia="Helvetica" w:hAnsi="Public Sans"/>
          <w:b/>
          <w:color w:val="auto"/>
        </w:rPr>
      </w:pPr>
      <w:r w:rsidRPr="002F7582">
        <w:rPr>
          <w:rFonts w:ascii="Public Sans" w:eastAsia="Helvetica" w:hAnsi="Public Sans"/>
          <w:b/>
          <w:color w:val="auto"/>
        </w:rPr>
        <w:t>Adults with disability</w:t>
      </w:r>
    </w:p>
    <w:p w14:paraId="5101B036" w14:textId="633A25BE" w:rsidR="002F5F44" w:rsidRDefault="002F5F44" w:rsidP="002F5F44">
      <w:pPr>
        <w:pStyle w:val="Body"/>
        <w:widowControl w:val="0"/>
        <w:spacing w:before="120" w:after="0" w:line="240" w:lineRule="auto"/>
        <w:rPr>
          <w:rFonts w:ascii="Public Sans" w:eastAsia="Helvetica" w:hAnsi="Public Sans" w:cs="Segoe UI"/>
        </w:rPr>
      </w:pPr>
      <w:r w:rsidRPr="005576E4">
        <w:rPr>
          <w:rFonts w:ascii="Public Sans" w:eastAsia="Helvetica" w:hAnsi="Public Sans" w:cs="Segoe UI"/>
        </w:rPr>
        <w:t xml:space="preserve">The </w:t>
      </w:r>
      <w:proofErr w:type="gramStart"/>
      <w:r w:rsidRPr="005576E4">
        <w:rPr>
          <w:rFonts w:ascii="Public Sans" w:eastAsia="Helvetica" w:hAnsi="Public Sans" w:cs="Segoe UI"/>
        </w:rPr>
        <w:t>most commonly reported</w:t>
      </w:r>
      <w:proofErr w:type="gramEnd"/>
      <w:r w:rsidRPr="005576E4">
        <w:rPr>
          <w:rFonts w:ascii="Public Sans" w:eastAsia="Helvetica" w:hAnsi="Public Sans" w:cs="Segoe UI"/>
        </w:rPr>
        <w:t xml:space="preserve"> types of alleged abuse in relation to adults with disability in </w:t>
      </w:r>
      <w:r w:rsidR="00FB73D1">
        <w:rPr>
          <w:rFonts w:ascii="Public Sans" w:eastAsia="Helvetica" w:hAnsi="Public Sans" w:cs="Segoe UI"/>
        </w:rPr>
        <w:t>J</w:t>
      </w:r>
      <w:r w:rsidR="00E33045">
        <w:rPr>
          <w:rFonts w:ascii="Public Sans" w:eastAsia="Helvetica" w:hAnsi="Public Sans" w:cs="Segoe UI"/>
        </w:rPr>
        <w:t>uly</w:t>
      </w:r>
      <w:r w:rsidRPr="005576E4">
        <w:rPr>
          <w:rFonts w:ascii="Public Sans" w:eastAsia="Helvetica" w:hAnsi="Public Sans" w:cs="Segoe UI"/>
        </w:rPr>
        <w:t xml:space="preserve"> – </w:t>
      </w:r>
      <w:r w:rsidR="00E33045">
        <w:rPr>
          <w:rFonts w:ascii="Public Sans" w:eastAsia="Helvetica" w:hAnsi="Public Sans" w:cs="Segoe UI"/>
        </w:rPr>
        <w:t>September</w:t>
      </w:r>
      <w:r w:rsidRPr="005576E4">
        <w:rPr>
          <w:rFonts w:ascii="Public Sans" w:eastAsia="Helvetica" w:hAnsi="Public Sans" w:cs="Segoe UI"/>
        </w:rPr>
        <w:t xml:space="preserve"> 202</w:t>
      </w:r>
      <w:r w:rsidR="00FB73D1">
        <w:rPr>
          <w:rFonts w:ascii="Public Sans" w:eastAsia="Helvetica" w:hAnsi="Public Sans" w:cs="Segoe UI"/>
        </w:rPr>
        <w:t>3</w:t>
      </w:r>
      <w:r w:rsidRPr="005576E4">
        <w:rPr>
          <w:rFonts w:ascii="Public Sans" w:eastAsia="Helvetica" w:hAnsi="Public Sans" w:cs="Segoe UI"/>
        </w:rPr>
        <w:t xml:space="preserve"> were psychological abuse, followed by </w:t>
      </w:r>
      <w:r w:rsidR="00FB73D1">
        <w:rPr>
          <w:rFonts w:ascii="Public Sans" w:eastAsia="Helvetica" w:hAnsi="Public Sans" w:cs="Segoe UI"/>
        </w:rPr>
        <w:t>neglect</w:t>
      </w:r>
      <w:r w:rsidRPr="005576E4">
        <w:rPr>
          <w:rFonts w:ascii="Public Sans" w:eastAsia="Helvetica" w:hAnsi="Public Sans" w:cs="Segoe UI"/>
        </w:rPr>
        <w:t xml:space="preserve">. </w:t>
      </w:r>
    </w:p>
    <w:p w14:paraId="48D1F9CF" w14:textId="77777777" w:rsidR="007D19E4" w:rsidRPr="005576E4" w:rsidRDefault="007D19E4" w:rsidP="002F5F44">
      <w:pPr>
        <w:pStyle w:val="Body"/>
        <w:widowControl w:val="0"/>
        <w:spacing w:before="120" w:after="0" w:line="240" w:lineRule="auto"/>
        <w:rPr>
          <w:rFonts w:ascii="Public Sans" w:eastAsia="Helvetica" w:hAnsi="Public Sans" w:cs="Segoe UI"/>
        </w:rPr>
      </w:pPr>
    </w:p>
    <w:p w14:paraId="3A694D25" w14:textId="36EB6061" w:rsidR="002F5F44" w:rsidRDefault="002F5F44" w:rsidP="002F5F44">
      <w:pPr>
        <w:pStyle w:val="Body"/>
        <w:widowControl w:val="0"/>
        <w:spacing w:after="0" w:line="240" w:lineRule="auto"/>
        <w:rPr>
          <w:rFonts w:ascii="Public Sans" w:eastAsia="Helvetica" w:hAnsi="Public Sans" w:cs="Segoe UI"/>
          <w:b/>
          <w:sz w:val="18"/>
        </w:rPr>
      </w:pPr>
      <w:r w:rsidRPr="002F7582">
        <w:rPr>
          <w:rFonts w:ascii="Public Sans" w:eastAsia="Helvetica" w:hAnsi="Public Sans" w:cs="Segoe UI"/>
          <w:b/>
          <w:sz w:val="18"/>
        </w:rPr>
        <w:t>Figure 1</w:t>
      </w:r>
      <w:r w:rsidR="00BD1590">
        <w:rPr>
          <w:rFonts w:ascii="Public Sans" w:eastAsia="Helvetica" w:hAnsi="Public Sans" w:cs="Segoe UI"/>
          <w:b/>
          <w:sz w:val="18"/>
        </w:rPr>
        <w:t>3</w:t>
      </w:r>
      <w:r w:rsidRPr="002F7582">
        <w:rPr>
          <w:rFonts w:ascii="Public Sans" w:eastAsia="Helvetica" w:hAnsi="Public Sans" w:cs="Segoe UI"/>
          <w:b/>
          <w:sz w:val="18"/>
        </w:rPr>
        <w:t xml:space="preserve">: Number of allegations in reports to the ADC about adults with disability, by abuse type, </w:t>
      </w:r>
      <w:r w:rsidR="00FB73D1">
        <w:rPr>
          <w:rFonts w:ascii="Public Sans" w:eastAsia="Helvetica" w:hAnsi="Public Sans" w:cs="Segoe UI"/>
          <w:b/>
          <w:sz w:val="18"/>
        </w:rPr>
        <w:t>J</w:t>
      </w:r>
      <w:r w:rsidR="00E33045">
        <w:rPr>
          <w:rFonts w:ascii="Public Sans" w:eastAsia="Helvetica" w:hAnsi="Public Sans" w:cs="Segoe UI"/>
          <w:b/>
          <w:sz w:val="18"/>
        </w:rPr>
        <w:t>uly-Sept</w:t>
      </w:r>
      <w:r w:rsidRPr="002F7582">
        <w:rPr>
          <w:rFonts w:ascii="Public Sans" w:eastAsia="Helvetica" w:hAnsi="Public Sans" w:cs="Segoe UI"/>
          <w:b/>
          <w:sz w:val="18"/>
        </w:rPr>
        <w:t xml:space="preserve"> 202</w:t>
      </w:r>
      <w:r w:rsidR="00FB73D1">
        <w:rPr>
          <w:rFonts w:ascii="Public Sans" w:eastAsia="Helvetica" w:hAnsi="Public Sans" w:cs="Segoe UI"/>
          <w:b/>
          <w:sz w:val="18"/>
        </w:rPr>
        <w:t>3</w:t>
      </w:r>
    </w:p>
    <w:p w14:paraId="74C16133" w14:textId="5A2932A8" w:rsidR="00AE44F1" w:rsidRDefault="004D7508" w:rsidP="002F5F44">
      <w:pPr>
        <w:pStyle w:val="Body"/>
        <w:widowControl w:val="0"/>
        <w:spacing w:after="0" w:line="240" w:lineRule="auto"/>
        <w:rPr>
          <w:rFonts w:ascii="Public Sans" w:eastAsia="Helvetica" w:hAnsi="Public Sans" w:cs="Segoe UI"/>
          <w:b/>
          <w:sz w:val="18"/>
        </w:rPr>
      </w:pPr>
      <w:r>
        <w:rPr>
          <w:noProof/>
        </w:rPr>
        <w:drawing>
          <wp:inline distT="0" distB="0" distL="0" distR="0" wp14:anchorId="79893357" wp14:editId="464859B8">
            <wp:extent cx="5934075" cy="1514475"/>
            <wp:effectExtent l="0" t="0" r="9525" b="9525"/>
            <wp:docPr id="6" name="Chart 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900-000007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39BADCC9" w14:textId="77777777" w:rsidR="00AE44F1" w:rsidRPr="002F7582" w:rsidRDefault="00AE44F1" w:rsidP="002F5F44">
      <w:pPr>
        <w:pStyle w:val="Body"/>
        <w:widowControl w:val="0"/>
        <w:spacing w:after="0" w:line="240" w:lineRule="auto"/>
        <w:rPr>
          <w:rFonts w:ascii="Public Sans" w:eastAsia="Helvetica" w:hAnsi="Public Sans" w:cs="Segoe UI"/>
          <w:sz w:val="20"/>
        </w:rPr>
      </w:pPr>
    </w:p>
    <w:p w14:paraId="50B4DD37" w14:textId="77777777" w:rsidR="00CE53C6" w:rsidRPr="005576E4" w:rsidRDefault="00CE53C6" w:rsidP="002F5F44">
      <w:pPr>
        <w:pStyle w:val="Body"/>
        <w:widowControl w:val="0"/>
        <w:spacing w:after="0" w:line="240" w:lineRule="auto"/>
        <w:ind w:left="360"/>
        <w:rPr>
          <w:rFonts w:ascii="Public Sans" w:eastAsia="Helvetica" w:hAnsi="Public Sans" w:cs="Segoe UI"/>
          <w:b/>
          <w:sz w:val="20"/>
        </w:rPr>
      </w:pPr>
    </w:p>
    <w:p w14:paraId="45976AC9" w14:textId="74EF0E4A" w:rsidR="002F5F44" w:rsidRPr="00CE53C6" w:rsidRDefault="002F5F44" w:rsidP="002F5F44">
      <w:pPr>
        <w:pStyle w:val="Body"/>
        <w:widowControl w:val="0"/>
        <w:spacing w:after="0" w:line="240" w:lineRule="auto"/>
        <w:rPr>
          <w:rFonts w:ascii="Public Sans" w:eastAsia="Helvetica" w:hAnsi="Public Sans" w:cs="Segoe UI"/>
          <w:b/>
          <w:sz w:val="18"/>
        </w:rPr>
      </w:pPr>
      <w:r w:rsidRPr="00CE53C6">
        <w:rPr>
          <w:rFonts w:ascii="Public Sans" w:eastAsia="Helvetica" w:hAnsi="Public Sans" w:cs="Segoe UI"/>
          <w:b/>
          <w:sz w:val="18"/>
        </w:rPr>
        <w:lastRenderedPageBreak/>
        <w:t xml:space="preserve">Table </w:t>
      </w:r>
      <w:r w:rsidR="00234D13" w:rsidRPr="00CE53C6">
        <w:rPr>
          <w:rFonts w:ascii="Public Sans" w:eastAsia="Helvetica" w:hAnsi="Public Sans" w:cs="Segoe UI"/>
          <w:b/>
          <w:sz w:val="18"/>
        </w:rPr>
        <w:t>7</w:t>
      </w:r>
      <w:r w:rsidRPr="00CE53C6">
        <w:rPr>
          <w:rFonts w:ascii="Public Sans" w:eastAsia="Helvetica" w:hAnsi="Public Sans" w:cs="Segoe UI"/>
          <w:b/>
          <w:sz w:val="18"/>
        </w:rPr>
        <w:t xml:space="preserve">: Type of alleged abuse of the adult with disability in reports to the ADC, </w:t>
      </w:r>
      <w:r w:rsidR="00FF00CA">
        <w:rPr>
          <w:rFonts w:ascii="Public Sans" w:eastAsia="Helvetica" w:hAnsi="Public Sans" w:cs="Segoe UI"/>
          <w:b/>
          <w:sz w:val="18"/>
        </w:rPr>
        <w:t>J</w:t>
      </w:r>
      <w:r w:rsidR="007C5F56">
        <w:rPr>
          <w:rFonts w:ascii="Public Sans" w:eastAsia="Helvetica" w:hAnsi="Public Sans" w:cs="Segoe UI"/>
          <w:b/>
          <w:sz w:val="18"/>
        </w:rPr>
        <w:t>uly</w:t>
      </w:r>
      <w:r w:rsidR="00FF00CA">
        <w:rPr>
          <w:rFonts w:ascii="Public Sans" w:eastAsia="Helvetica" w:hAnsi="Public Sans" w:cs="Segoe UI"/>
          <w:b/>
          <w:sz w:val="18"/>
        </w:rPr>
        <w:t>-</w:t>
      </w:r>
      <w:r w:rsidR="007C5F56">
        <w:rPr>
          <w:rFonts w:ascii="Public Sans" w:eastAsia="Helvetica" w:hAnsi="Public Sans" w:cs="Segoe UI"/>
          <w:b/>
          <w:sz w:val="18"/>
        </w:rPr>
        <w:t>Sept</w:t>
      </w:r>
      <w:r w:rsidRPr="00CE53C6">
        <w:rPr>
          <w:rFonts w:ascii="Public Sans" w:eastAsia="Helvetica" w:hAnsi="Public Sans" w:cs="Segoe UI"/>
          <w:b/>
          <w:sz w:val="18"/>
        </w:rPr>
        <w:t xml:space="preserve"> 202</w:t>
      </w:r>
      <w:r w:rsidR="00FF00CA">
        <w:rPr>
          <w:rFonts w:ascii="Public Sans" w:eastAsia="Helvetica" w:hAnsi="Public Sans" w:cs="Segoe UI"/>
          <w:b/>
          <w:sz w:val="18"/>
        </w:rPr>
        <w:t>3</w:t>
      </w:r>
      <w:r w:rsidRPr="00CE53C6">
        <w:rPr>
          <w:rStyle w:val="FootnoteReference"/>
          <w:rFonts w:ascii="Public Sans" w:eastAsia="Helvetica" w:hAnsi="Public Sans" w:cs="Segoe UI"/>
          <w:b/>
          <w:sz w:val="18"/>
        </w:rPr>
        <w:footnoteReference w:id="7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38"/>
        <w:gridCol w:w="1345"/>
        <w:gridCol w:w="1345"/>
      </w:tblGrid>
      <w:tr w:rsidR="002F5F44" w:rsidRPr="005576E4" w14:paraId="7DAEBC37" w14:textId="77777777" w:rsidTr="00C05D9E">
        <w:tc>
          <w:tcPr>
            <w:tcW w:w="6938" w:type="dxa"/>
            <w:shd w:val="clear" w:color="auto" w:fill="A5CCDF"/>
          </w:tcPr>
          <w:p w14:paraId="5CE878C2" w14:textId="77777777" w:rsidR="002F5F44" w:rsidRPr="005576E4" w:rsidRDefault="002F5F44" w:rsidP="0064341B">
            <w:pPr>
              <w:widowControl w:val="0"/>
              <w:spacing w:after="0" w:line="240" w:lineRule="auto"/>
              <w:rPr>
                <w:rFonts w:ascii="Public Sans" w:eastAsia="Times New Roman" w:hAnsi="Public Sans" w:cs="Segoe UI"/>
                <w:b/>
                <w:color w:val="000000"/>
                <w:sz w:val="21"/>
                <w:szCs w:val="21"/>
                <w:u w:color="000000"/>
              </w:rPr>
            </w:pPr>
            <w:r w:rsidRPr="005576E4">
              <w:rPr>
                <w:rFonts w:ascii="Public Sans" w:eastAsia="Times New Roman" w:hAnsi="Public Sans" w:cs="Segoe UI"/>
                <w:b/>
                <w:color w:val="000000"/>
                <w:sz w:val="21"/>
                <w:szCs w:val="21"/>
                <w:u w:color="000000"/>
              </w:rPr>
              <w:t>Type of alleged abuse</w:t>
            </w:r>
          </w:p>
        </w:tc>
        <w:tc>
          <w:tcPr>
            <w:tcW w:w="1345" w:type="dxa"/>
            <w:shd w:val="clear" w:color="auto" w:fill="A5CCDF"/>
          </w:tcPr>
          <w:p w14:paraId="5D6D9F37" w14:textId="77777777" w:rsidR="002F5F44" w:rsidRPr="005576E4" w:rsidRDefault="002F5F44" w:rsidP="0064341B">
            <w:pPr>
              <w:widowControl w:val="0"/>
              <w:spacing w:after="0" w:line="240" w:lineRule="auto"/>
              <w:jc w:val="right"/>
              <w:rPr>
                <w:rFonts w:ascii="Public Sans" w:eastAsia="Times New Roman" w:hAnsi="Public Sans" w:cs="Segoe UI"/>
                <w:b/>
                <w:color w:val="000000"/>
                <w:sz w:val="21"/>
                <w:szCs w:val="21"/>
                <w:u w:color="000000"/>
              </w:rPr>
            </w:pPr>
            <w:r w:rsidRPr="005576E4">
              <w:rPr>
                <w:rFonts w:ascii="Public Sans" w:eastAsia="Times New Roman" w:hAnsi="Public Sans" w:cs="Segoe UI"/>
                <w:b/>
                <w:color w:val="000000"/>
                <w:sz w:val="21"/>
                <w:szCs w:val="21"/>
                <w:u w:color="000000"/>
              </w:rPr>
              <w:t>Number of allegations</w:t>
            </w:r>
          </w:p>
        </w:tc>
        <w:tc>
          <w:tcPr>
            <w:tcW w:w="1345" w:type="dxa"/>
            <w:shd w:val="clear" w:color="auto" w:fill="A5CCDF"/>
          </w:tcPr>
          <w:p w14:paraId="5181DAAB" w14:textId="77777777" w:rsidR="002F5F44" w:rsidRPr="005576E4" w:rsidRDefault="002F5F44" w:rsidP="0064341B">
            <w:pPr>
              <w:widowControl w:val="0"/>
              <w:spacing w:after="0" w:line="240" w:lineRule="auto"/>
              <w:jc w:val="right"/>
              <w:rPr>
                <w:rFonts w:ascii="Public Sans" w:eastAsia="Times New Roman" w:hAnsi="Public Sans" w:cs="Segoe UI"/>
                <w:b/>
                <w:color w:val="000000"/>
                <w:sz w:val="21"/>
                <w:szCs w:val="21"/>
                <w:u w:color="000000"/>
              </w:rPr>
            </w:pPr>
            <w:r w:rsidRPr="005576E4">
              <w:rPr>
                <w:rFonts w:ascii="Public Sans" w:eastAsia="Times New Roman" w:hAnsi="Public Sans" w:cs="Segoe UI"/>
                <w:b/>
                <w:color w:val="000000"/>
                <w:sz w:val="21"/>
                <w:szCs w:val="21"/>
                <w:u w:color="000000"/>
              </w:rPr>
              <w:t>% of all allegations</w:t>
            </w:r>
          </w:p>
        </w:tc>
      </w:tr>
      <w:tr w:rsidR="002F5F44" w:rsidRPr="005576E4" w14:paraId="179F6C28" w14:textId="77777777" w:rsidTr="00C05D9E">
        <w:tc>
          <w:tcPr>
            <w:tcW w:w="6938" w:type="dxa"/>
          </w:tcPr>
          <w:p w14:paraId="337791FA" w14:textId="77777777" w:rsidR="002F5F44" w:rsidRPr="005576E4" w:rsidRDefault="002F5F44" w:rsidP="0064341B">
            <w:pPr>
              <w:widowControl w:val="0"/>
              <w:spacing w:after="0" w:line="240" w:lineRule="auto"/>
              <w:rPr>
                <w:rFonts w:ascii="Public Sans" w:eastAsia="Times New Roman" w:hAnsi="Public Sans" w:cs="Segoe UI"/>
                <w:b/>
                <w:color w:val="000000"/>
                <w:sz w:val="21"/>
                <w:szCs w:val="21"/>
                <w:u w:color="000000"/>
              </w:rPr>
            </w:pPr>
            <w:r w:rsidRPr="005576E4">
              <w:rPr>
                <w:rFonts w:ascii="Public Sans" w:eastAsia="Times New Roman" w:hAnsi="Public Sans" w:cs="Segoe UI"/>
                <w:b/>
                <w:color w:val="000000"/>
                <w:sz w:val="21"/>
                <w:szCs w:val="21"/>
                <w:u w:color="000000"/>
              </w:rPr>
              <w:t>Psychological abuse</w:t>
            </w:r>
          </w:p>
          <w:p w14:paraId="0D27F160" w14:textId="77777777" w:rsidR="002F5F44" w:rsidRPr="005576E4" w:rsidRDefault="002F5F44" w:rsidP="0064341B">
            <w:pPr>
              <w:widowControl w:val="0"/>
              <w:spacing w:after="0" w:line="240" w:lineRule="auto"/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</w:pPr>
          </w:p>
          <w:p w14:paraId="5063A346" w14:textId="77777777" w:rsidR="002F5F44" w:rsidRPr="005576E4" w:rsidRDefault="002F5F44" w:rsidP="00E212F5">
            <w:pPr>
              <w:widowControl w:val="0"/>
              <w:spacing w:after="0" w:line="240" w:lineRule="auto"/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</w:pPr>
            <w:r w:rsidRPr="005576E4"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 xml:space="preserve">Mainly </w:t>
            </w:r>
            <w:r w:rsidR="00525812" w:rsidRPr="005576E4"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>preventing</w:t>
            </w:r>
            <w:r w:rsidR="00E212F5"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 xml:space="preserve"> or </w:t>
            </w:r>
            <w:r w:rsidR="00525812" w:rsidRPr="005576E4"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>restricting the person’s access to supports/services</w:t>
            </w:r>
            <w:r w:rsidR="00525812"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>;</w:t>
            </w:r>
            <w:r w:rsidR="00525812" w:rsidRPr="005576E4"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 xml:space="preserve"> </w:t>
            </w:r>
            <w:r w:rsidRPr="005576E4"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 xml:space="preserve">verbal abuse; </w:t>
            </w:r>
            <w:r w:rsidR="00525812"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 xml:space="preserve">and </w:t>
            </w:r>
            <w:r w:rsidR="009E47E0"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>other psychological abuse</w:t>
            </w:r>
            <w:r w:rsidRPr="005576E4"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 xml:space="preserve"> </w:t>
            </w:r>
          </w:p>
        </w:tc>
        <w:tc>
          <w:tcPr>
            <w:tcW w:w="1345" w:type="dxa"/>
          </w:tcPr>
          <w:p w14:paraId="197BA580" w14:textId="2EAE8459" w:rsidR="002F5F44" w:rsidRPr="005576E4" w:rsidRDefault="004D7508" w:rsidP="00F123BE">
            <w:pPr>
              <w:widowControl w:val="0"/>
              <w:spacing w:after="0" w:line="240" w:lineRule="auto"/>
              <w:jc w:val="right"/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</w:pPr>
            <w:r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>222</w:t>
            </w:r>
          </w:p>
        </w:tc>
        <w:tc>
          <w:tcPr>
            <w:tcW w:w="1345" w:type="dxa"/>
          </w:tcPr>
          <w:p w14:paraId="3788D6A6" w14:textId="2758448E" w:rsidR="002F5F44" w:rsidRPr="005576E4" w:rsidRDefault="004D7508" w:rsidP="00D70755">
            <w:pPr>
              <w:widowControl w:val="0"/>
              <w:spacing w:after="0" w:line="240" w:lineRule="auto"/>
              <w:jc w:val="right"/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</w:pPr>
            <w:r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>40.7</w:t>
            </w:r>
          </w:p>
        </w:tc>
      </w:tr>
      <w:tr w:rsidR="007835CC" w:rsidRPr="005576E4" w14:paraId="0644BB4D" w14:textId="77777777" w:rsidTr="00C05D9E">
        <w:tc>
          <w:tcPr>
            <w:tcW w:w="6938" w:type="dxa"/>
          </w:tcPr>
          <w:p w14:paraId="5A0509CE" w14:textId="77777777" w:rsidR="007835CC" w:rsidRPr="005576E4" w:rsidRDefault="007835CC" w:rsidP="007835CC">
            <w:pPr>
              <w:widowControl w:val="0"/>
              <w:spacing w:after="0" w:line="240" w:lineRule="auto"/>
              <w:rPr>
                <w:rFonts w:ascii="Public Sans" w:eastAsia="Times New Roman" w:hAnsi="Public Sans" w:cs="Segoe UI"/>
                <w:b/>
                <w:color w:val="000000"/>
                <w:sz w:val="21"/>
                <w:szCs w:val="21"/>
                <w:u w:color="000000"/>
              </w:rPr>
            </w:pPr>
            <w:r w:rsidRPr="005576E4">
              <w:rPr>
                <w:rFonts w:ascii="Public Sans" w:eastAsia="Times New Roman" w:hAnsi="Public Sans" w:cs="Segoe UI"/>
                <w:b/>
                <w:color w:val="000000"/>
                <w:sz w:val="21"/>
                <w:szCs w:val="21"/>
                <w:u w:color="000000"/>
              </w:rPr>
              <w:t>Neglect</w:t>
            </w:r>
          </w:p>
          <w:p w14:paraId="0E56046C" w14:textId="77777777" w:rsidR="007835CC" w:rsidRPr="005576E4" w:rsidRDefault="007835CC" w:rsidP="007835CC">
            <w:pPr>
              <w:widowControl w:val="0"/>
              <w:spacing w:after="0" w:line="240" w:lineRule="auto"/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</w:pPr>
          </w:p>
          <w:p w14:paraId="14F45BE2" w14:textId="77777777" w:rsidR="007835CC" w:rsidRPr="005576E4" w:rsidRDefault="007835CC" w:rsidP="007835CC">
            <w:pPr>
              <w:widowControl w:val="0"/>
              <w:spacing w:after="0" w:line="240" w:lineRule="auto"/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</w:pPr>
            <w:r w:rsidRPr="005576E4"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 xml:space="preserve">(Mainly failure to meet the person’s support needs; and </w:t>
            </w:r>
            <w:r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>other</w:t>
            </w:r>
            <w:r w:rsidRPr="005576E4"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 xml:space="preserve"> </w:t>
            </w:r>
            <w:r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>medical neglect</w:t>
            </w:r>
            <w:r w:rsidRPr="005576E4"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>)</w:t>
            </w:r>
          </w:p>
        </w:tc>
        <w:tc>
          <w:tcPr>
            <w:tcW w:w="1345" w:type="dxa"/>
          </w:tcPr>
          <w:p w14:paraId="7D75ACDD" w14:textId="06F452C2" w:rsidR="007835CC" w:rsidRPr="005576E4" w:rsidRDefault="004D7508" w:rsidP="007835CC">
            <w:pPr>
              <w:widowControl w:val="0"/>
              <w:spacing w:after="0" w:line="240" w:lineRule="auto"/>
              <w:jc w:val="right"/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</w:pPr>
            <w:r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>133</w:t>
            </w:r>
          </w:p>
        </w:tc>
        <w:tc>
          <w:tcPr>
            <w:tcW w:w="1345" w:type="dxa"/>
          </w:tcPr>
          <w:p w14:paraId="26758A3B" w14:textId="0E1E4FC6" w:rsidR="007835CC" w:rsidRPr="005576E4" w:rsidRDefault="004D7508" w:rsidP="007835CC">
            <w:pPr>
              <w:widowControl w:val="0"/>
              <w:spacing w:after="0" w:line="240" w:lineRule="auto"/>
              <w:jc w:val="right"/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</w:pPr>
            <w:r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>24.4</w:t>
            </w:r>
          </w:p>
        </w:tc>
      </w:tr>
      <w:tr w:rsidR="00C05D9E" w:rsidRPr="005576E4" w14:paraId="65A258A7" w14:textId="77777777" w:rsidTr="00C05D9E">
        <w:tc>
          <w:tcPr>
            <w:tcW w:w="6938" w:type="dxa"/>
          </w:tcPr>
          <w:p w14:paraId="15D21F7D" w14:textId="77777777" w:rsidR="00C05D9E" w:rsidRPr="005576E4" w:rsidRDefault="00C05D9E" w:rsidP="00C05D9E">
            <w:pPr>
              <w:widowControl w:val="0"/>
              <w:spacing w:after="0" w:line="240" w:lineRule="auto"/>
              <w:rPr>
                <w:rFonts w:ascii="Public Sans" w:eastAsia="Times New Roman" w:hAnsi="Public Sans" w:cs="Segoe UI"/>
                <w:b/>
                <w:color w:val="000000"/>
                <w:sz w:val="21"/>
                <w:szCs w:val="21"/>
                <w:u w:color="000000"/>
              </w:rPr>
            </w:pPr>
            <w:r w:rsidRPr="005576E4">
              <w:rPr>
                <w:rFonts w:ascii="Public Sans" w:eastAsia="Times New Roman" w:hAnsi="Public Sans" w:cs="Segoe UI"/>
                <w:b/>
                <w:color w:val="000000"/>
                <w:sz w:val="21"/>
                <w:szCs w:val="21"/>
                <w:u w:color="000000"/>
              </w:rPr>
              <w:t>Financial abuse</w:t>
            </w:r>
          </w:p>
          <w:p w14:paraId="390EBFD3" w14:textId="77777777" w:rsidR="00C05D9E" w:rsidRPr="005576E4" w:rsidRDefault="00C05D9E" w:rsidP="00C05D9E">
            <w:pPr>
              <w:widowControl w:val="0"/>
              <w:spacing w:after="0" w:line="240" w:lineRule="auto"/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</w:pPr>
          </w:p>
          <w:p w14:paraId="05E1CB16" w14:textId="77777777" w:rsidR="00C05D9E" w:rsidRPr="005576E4" w:rsidRDefault="00C05D9E" w:rsidP="00E212F5">
            <w:pPr>
              <w:widowControl w:val="0"/>
              <w:spacing w:after="0" w:line="240" w:lineRule="auto"/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</w:pPr>
            <w:r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 xml:space="preserve">(Mainly </w:t>
            </w:r>
            <w:r w:rsidR="00AE3320"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 xml:space="preserve">financial exploitation; </w:t>
            </w:r>
            <w:r w:rsidR="00525812"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>preventing access to</w:t>
            </w:r>
            <w:r w:rsidR="00E212F5"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 xml:space="preserve"> or </w:t>
            </w:r>
            <w:r w:rsidR="00525812"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 xml:space="preserve">withholding the person’s money; and </w:t>
            </w:r>
            <w:r w:rsidR="00AE3320"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>theft</w:t>
            </w:r>
            <w:r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>)</w:t>
            </w:r>
          </w:p>
        </w:tc>
        <w:tc>
          <w:tcPr>
            <w:tcW w:w="1345" w:type="dxa"/>
          </w:tcPr>
          <w:p w14:paraId="4238BEC5" w14:textId="12B35FC2" w:rsidR="00C05D9E" w:rsidRPr="005576E4" w:rsidRDefault="004D7508" w:rsidP="00D70755">
            <w:pPr>
              <w:widowControl w:val="0"/>
              <w:spacing w:after="0" w:line="240" w:lineRule="auto"/>
              <w:jc w:val="right"/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</w:pPr>
            <w:r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>105</w:t>
            </w:r>
          </w:p>
        </w:tc>
        <w:tc>
          <w:tcPr>
            <w:tcW w:w="1345" w:type="dxa"/>
          </w:tcPr>
          <w:p w14:paraId="15FB52C0" w14:textId="0DC6F1C1" w:rsidR="00C05D9E" w:rsidRPr="005576E4" w:rsidRDefault="004D7508" w:rsidP="00D70755">
            <w:pPr>
              <w:widowControl w:val="0"/>
              <w:spacing w:after="0" w:line="240" w:lineRule="auto"/>
              <w:jc w:val="right"/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</w:pPr>
            <w:r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>19.3</w:t>
            </w:r>
          </w:p>
        </w:tc>
      </w:tr>
      <w:tr w:rsidR="002F5F44" w:rsidRPr="005576E4" w14:paraId="722838DD" w14:textId="77777777" w:rsidTr="00C05D9E">
        <w:tc>
          <w:tcPr>
            <w:tcW w:w="6938" w:type="dxa"/>
          </w:tcPr>
          <w:p w14:paraId="202FF4C2" w14:textId="77777777" w:rsidR="002F5F44" w:rsidRPr="005576E4" w:rsidRDefault="002F5F44" w:rsidP="0064341B">
            <w:pPr>
              <w:widowControl w:val="0"/>
              <w:spacing w:after="0" w:line="240" w:lineRule="auto"/>
              <w:rPr>
                <w:rFonts w:ascii="Public Sans" w:eastAsia="Times New Roman" w:hAnsi="Public Sans" w:cs="Segoe UI"/>
                <w:b/>
                <w:color w:val="000000"/>
                <w:sz w:val="21"/>
                <w:szCs w:val="21"/>
                <w:u w:color="000000"/>
              </w:rPr>
            </w:pPr>
            <w:r w:rsidRPr="005576E4">
              <w:rPr>
                <w:rFonts w:ascii="Public Sans" w:eastAsia="Times New Roman" w:hAnsi="Public Sans" w:cs="Segoe UI"/>
                <w:b/>
                <w:color w:val="000000"/>
                <w:sz w:val="21"/>
                <w:szCs w:val="21"/>
                <w:u w:color="000000"/>
              </w:rPr>
              <w:t>Physical abuse</w:t>
            </w:r>
          </w:p>
          <w:p w14:paraId="6ACD7424" w14:textId="77777777" w:rsidR="002F5F44" w:rsidRPr="005576E4" w:rsidRDefault="002F5F44" w:rsidP="0064341B">
            <w:pPr>
              <w:widowControl w:val="0"/>
              <w:spacing w:after="0" w:line="240" w:lineRule="auto"/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</w:pPr>
          </w:p>
          <w:p w14:paraId="66ED75B9" w14:textId="77777777" w:rsidR="002F5F44" w:rsidRPr="005576E4" w:rsidRDefault="002F5F44" w:rsidP="00525812">
            <w:pPr>
              <w:widowControl w:val="0"/>
              <w:spacing w:after="0" w:line="240" w:lineRule="auto"/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</w:pPr>
            <w:r w:rsidRPr="005576E4"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>(Mainly hitting</w:t>
            </w:r>
            <w:r w:rsidR="00CE53C6"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>/</w:t>
            </w:r>
            <w:r w:rsidRPr="005576E4"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 xml:space="preserve"> kicking</w:t>
            </w:r>
            <w:r w:rsidR="00CE53C6"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>/</w:t>
            </w:r>
            <w:r w:rsidRPr="005576E4"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 xml:space="preserve"> punching; </w:t>
            </w:r>
            <w:r w:rsidR="00B20DC2"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>and</w:t>
            </w:r>
            <w:r w:rsidR="00CE53C6"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 xml:space="preserve"> </w:t>
            </w:r>
            <w:r w:rsidR="00525812"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>perceived threat of harm</w:t>
            </w:r>
            <w:r w:rsidRPr="005576E4"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>)</w:t>
            </w:r>
          </w:p>
        </w:tc>
        <w:tc>
          <w:tcPr>
            <w:tcW w:w="1345" w:type="dxa"/>
          </w:tcPr>
          <w:p w14:paraId="3ECA22BB" w14:textId="07E05CCC" w:rsidR="002F5F44" w:rsidRPr="005576E4" w:rsidRDefault="007C5F56" w:rsidP="0064341B">
            <w:pPr>
              <w:widowControl w:val="0"/>
              <w:spacing w:after="0" w:line="240" w:lineRule="auto"/>
              <w:jc w:val="right"/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</w:pPr>
            <w:r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>66</w:t>
            </w:r>
          </w:p>
        </w:tc>
        <w:tc>
          <w:tcPr>
            <w:tcW w:w="1345" w:type="dxa"/>
          </w:tcPr>
          <w:p w14:paraId="6BA348AE" w14:textId="5672C3FD" w:rsidR="002F5F44" w:rsidRPr="005576E4" w:rsidRDefault="007C5F56" w:rsidP="0064341B">
            <w:pPr>
              <w:widowControl w:val="0"/>
              <w:spacing w:after="0" w:line="240" w:lineRule="auto"/>
              <w:jc w:val="right"/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</w:pPr>
            <w:r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>12.1</w:t>
            </w:r>
          </w:p>
        </w:tc>
      </w:tr>
      <w:tr w:rsidR="002F5F44" w:rsidRPr="005576E4" w14:paraId="4E616A7E" w14:textId="77777777" w:rsidTr="00C05D9E">
        <w:tc>
          <w:tcPr>
            <w:tcW w:w="6938" w:type="dxa"/>
          </w:tcPr>
          <w:p w14:paraId="0C1A67A8" w14:textId="77777777" w:rsidR="002F5F44" w:rsidRPr="005576E4" w:rsidRDefault="002F5F44" w:rsidP="0064341B">
            <w:pPr>
              <w:widowControl w:val="0"/>
              <w:spacing w:after="0" w:line="240" w:lineRule="auto"/>
              <w:rPr>
                <w:rFonts w:ascii="Public Sans" w:eastAsia="Times New Roman" w:hAnsi="Public Sans" w:cs="Segoe UI"/>
                <w:b/>
                <w:color w:val="000000"/>
                <w:sz w:val="21"/>
                <w:szCs w:val="21"/>
                <w:u w:color="000000"/>
              </w:rPr>
            </w:pPr>
            <w:r w:rsidRPr="005576E4">
              <w:rPr>
                <w:rFonts w:ascii="Public Sans" w:eastAsia="Times New Roman" w:hAnsi="Public Sans" w:cs="Segoe UI"/>
                <w:b/>
                <w:color w:val="000000"/>
                <w:sz w:val="21"/>
                <w:szCs w:val="21"/>
                <w:u w:color="000000"/>
              </w:rPr>
              <w:t>Sexual abuse</w:t>
            </w:r>
          </w:p>
          <w:p w14:paraId="6C0744C3" w14:textId="77777777" w:rsidR="002F5F44" w:rsidRPr="005576E4" w:rsidRDefault="002F5F44" w:rsidP="0064341B">
            <w:pPr>
              <w:widowControl w:val="0"/>
              <w:spacing w:after="0" w:line="240" w:lineRule="auto"/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</w:pPr>
          </w:p>
          <w:p w14:paraId="6DE5D789" w14:textId="77777777" w:rsidR="002F5F44" w:rsidRPr="005576E4" w:rsidRDefault="002F5F44" w:rsidP="009E47E0">
            <w:pPr>
              <w:widowControl w:val="0"/>
              <w:spacing w:after="0" w:line="240" w:lineRule="auto"/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</w:pPr>
            <w:r w:rsidRPr="005576E4"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 xml:space="preserve">(Mainly </w:t>
            </w:r>
            <w:r w:rsidRPr="0054426B"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 xml:space="preserve">sexual </w:t>
            </w:r>
            <w:r w:rsidR="009E47E0" w:rsidRPr="0054426B"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>assault</w:t>
            </w:r>
            <w:r w:rsidR="00076AB9" w:rsidRPr="0054426B"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>; and other sexual offences</w:t>
            </w:r>
            <w:r w:rsidRPr="0054426B"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>)</w:t>
            </w:r>
          </w:p>
        </w:tc>
        <w:tc>
          <w:tcPr>
            <w:tcW w:w="1345" w:type="dxa"/>
          </w:tcPr>
          <w:p w14:paraId="258A95C9" w14:textId="209AFB83" w:rsidR="002F5F44" w:rsidRPr="005576E4" w:rsidRDefault="007C5F56" w:rsidP="0064341B">
            <w:pPr>
              <w:widowControl w:val="0"/>
              <w:spacing w:after="0" w:line="240" w:lineRule="auto"/>
              <w:jc w:val="right"/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</w:pPr>
            <w:r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>19</w:t>
            </w:r>
          </w:p>
        </w:tc>
        <w:tc>
          <w:tcPr>
            <w:tcW w:w="1345" w:type="dxa"/>
          </w:tcPr>
          <w:p w14:paraId="50A112F7" w14:textId="30F69E47" w:rsidR="002F5F44" w:rsidRPr="005576E4" w:rsidRDefault="007C5F56" w:rsidP="0064341B">
            <w:pPr>
              <w:widowControl w:val="0"/>
              <w:spacing w:after="0" w:line="240" w:lineRule="auto"/>
              <w:jc w:val="right"/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</w:pPr>
            <w:r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>3.5</w:t>
            </w:r>
          </w:p>
        </w:tc>
      </w:tr>
      <w:tr w:rsidR="002F5F44" w:rsidRPr="005576E4" w14:paraId="4E99195C" w14:textId="77777777" w:rsidTr="00C05D9E">
        <w:tc>
          <w:tcPr>
            <w:tcW w:w="6938" w:type="dxa"/>
          </w:tcPr>
          <w:p w14:paraId="74684084" w14:textId="5FFFE2BB" w:rsidR="000F7810" w:rsidRPr="005576E4" w:rsidRDefault="002F5F44" w:rsidP="0064341B">
            <w:pPr>
              <w:widowControl w:val="0"/>
              <w:spacing w:after="0" w:line="240" w:lineRule="auto"/>
              <w:rPr>
                <w:rFonts w:ascii="Public Sans" w:eastAsia="Times New Roman" w:hAnsi="Public Sans" w:cs="Segoe UI"/>
                <w:b/>
                <w:color w:val="000000"/>
                <w:sz w:val="21"/>
                <w:szCs w:val="21"/>
                <w:u w:color="000000"/>
              </w:rPr>
            </w:pPr>
            <w:r w:rsidRPr="005576E4">
              <w:rPr>
                <w:rFonts w:ascii="Public Sans" w:eastAsia="Times New Roman" w:hAnsi="Public Sans" w:cs="Segoe UI"/>
                <w:b/>
                <w:color w:val="000000"/>
                <w:sz w:val="21"/>
                <w:szCs w:val="21"/>
                <w:u w:color="000000"/>
              </w:rPr>
              <w:t>Total allegations in reports about adults with disability</w:t>
            </w:r>
          </w:p>
        </w:tc>
        <w:tc>
          <w:tcPr>
            <w:tcW w:w="1345" w:type="dxa"/>
          </w:tcPr>
          <w:p w14:paraId="5E800B87" w14:textId="762698C5" w:rsidR="002F5F44" w:rsidRPr="005576E4" w:rsidRDefault="007C5F56" w:rsidP="00D70755">
            <w:pPr>
              <w:widowControl w:val="0"/>
              <w:spacing w:after="0" w:line="240" w:lineRule="auto"/>
              <w:jc w:val="right"/>
              <w:rPr>
                <w:rFonts w:ascii="Public Sans" w:eastAsia="Times New Roman" w:hAnsi="Public Sans" w:cs="Segoe UI"/>
                <w:b/>
                <w:color w:val="000000"/>
                <w:sz w:val="21"/>
                <w:szCs w:val="21"/>
                <w:u w:color="000000"/>
              </w:rPr>
            </w:pPr>
            <w:r>
              <w:rPr>
                <w:rFonts w:ascii="Public Sans" w:eastAsia="Times New Roman" w:hAnsi="Public Sans" w:cs="Segoe UI"/>
                <w:b/>
                <w:color w:val="000000"/>
                <w:sz w:val="21"/>
                <w:szCs w:val="21"/>
                <w:u w:color="000000"/>
              </w:rPr>
              <w:t>545</w:t>
            </w:r>
          </w:p>
        </w:tc>
        <w:tc>
          <w:tcPr>
            <w:tcW w:w="1345" w:type="dxa"/>
          </w:tcPr>
          <w:p w14:paraId="71471261" w14:textId="77777777" w:rsidR="002F5F44" w:rsidRPr="005576E4" w:rsidRDefault="002F5F44" w:rsidP="0064341B">
            <w:pPr>
              <w:widowControl w:val="0"/>
              <w:spacing w:after="0" w:line="240" w:lineRule="auto"/>
              <w:jc w:val="right"/>
              <w:rPr>
                <w:rFonts w:ascii="Public Sans" w:eastAsia="Times New Roman" w:hAnsi="Public Sans" w:cs="Segoe UI"/>
                <w:b/>
                <w:color w:val="000000"/>
                <w:sz w:val="21"/>
                <w:szCs w:val="21"/>
                <w:u w:color="000000"/>
              </w:rPr>
            </w:pPr>
            <w:r w:rsidRPr="005576E4">
              <w:rPr>
                <w:rFonts w:ascii="Public Sans" w:eastAsia="Times New Roman" w:hAnsi="Public Sans" w:cs="Segoe UI"/>
                <w:b/>
                <w:color w:val="000000"/>
                <w:sz w:val="21"/>
                <w:szCs w:val="21"/>
                <w:u w:color="000000"/>
              </w:rPr>
              <w:t>100</w:t>
            </w:r>
          </w:p>
        </w:tc>
      </w:tr>
    </w:tbl>
    <w:p w14:paraId="626EBDA7" w14:textId="77777777" w:rsidR="002F5F44" w:rsidRPr="005576E4" w:rsidRDefault="002F5F44" w:rsidP="002F5F44">
      <w:pPr>
        <w:pStyle w:val="Body"/>
        <w:widowControl w:val="0"/>
        <w:spacing w:after="0" w:line="240" w:lineRule="auto"/>
        <w:rPr>
          <w:rFonts w:ascii="Public Sans" w:eastAsia="Helvetica" w:hAnsi="Public Sans" w:cs="Segoe UI"/>
          <w:b/>
          <w:sz w:val="20"/>
        </w:rPr>
      </w:pPr>
    </w:p>
    <w:p w14:paraId="4D6EAAB3" w14:textId="504D5D91" w:rsidR="002F5F44" w:rsidRPr="005576E4" w:rsidRDefault="002F5F44" w:rsidP="00A53199">
      <w:pPr>
        <w:pStyle w:val="Body"/>
        <w:widowControl w:val="0"/>
        <w:spacing w:before="120" w:after="0" w:line="240" w:lineRule="auto"/>
        <w:rPr>
          <w:rFonts w:ascii="Public Sans" w:hAnsi="Public Sans" w:cs="Segoe UI"/>
        </w:rPr>
      </w:pPr>
      <w:r w:rsidRPr="005576E4">
        <w:rPr>
          <w:rFonts w:ascii="Public Sans" w:hAnsi="Public Sans" w:cs="Segoe UI"/>
        </w:rPr>
        <w:t xml:space="preserve">The most common allegations reported in relation to adults with disability related to them </w:t>
      </w:r>
      <w:r w:rsidR="00BF0A65">
        <w:rPr>
          <w:rFonts w:ascii="Public Sans" w:hAnsi="Public Sans" w:cs="Segoe UI"/>
        </w:rPr>
        <w:t xml:space="preserve">being </w:t>
      </w:r>
      <w:r w:rsidR="003033FC">
        <w:rPr>
          <w:rFonts w:ascii="Public Sans" w:hAnsi="Public Sans" w:cs="Segoe UI"/>
        </w:rPr>
        <w:t xml:space="preserve">prevented from accessing necessary supports and services; being </w:t>
      </w:r>
      <w:r w:rsidR="00BF0A65">
        <w:rPr>
          <w:rFonts w:ascii="Public Sans" w:hAnsi="Public Sans" w:cs="Segoe UI"/>
        </w:rPr>
        <w:t xml:space="preserve">subject to verbal abuse; </w:t>
      </w:r>
      <w:bookmarkStart w:id="0" w:name="_Hlk63087134"/>
      <w:r w:rsidR="00BF0A65">
        <w:rPr>
          <w:rFonts w:ascii="Public Sans" w:hAnsi="Public Sans" w:cs="Segoe UI"/>
        </w:rPr>
        <w:t xml:space="preserve">being financially exploited; and being </w:t>
      </w:r>
      <w:r w:rsidR="003033FC">
        <w:rPr>
          <w:rFonts w:ascii="Public Sans" w:hAnsi="Public Sans" w:cs="Segoe UI"/>
        </w:rPr>
        <w:t>subject to excessive or degrading demands</w:t>
      </w:r>
      <w:r w:rsidR="001F3FBA">
        <w:rPr>
          <w:rFonts w:ascii="Public Sans" w:hAnsi="Public Sans" w:cs="Segoe UI"/>
        </w:rPr>
        <w:t>.</w:t>
      </w:r>
      <w:r w:rsidRPr="005576E4">
        <w:rPr>
          <w:rFonts w:ascii="Public Sans" w:hAnsi="Public Sans" w:cs="Segoe UI"/>
        </w:rPr>
        <w:t xml:space="preserve"> </w:t>
      </w:r>
    </w:p>
    <w:p w14:paraId="2997789C" w14:textId="77777777" w:rsidR="002F5F44" w:rsidRPr="005576E4" w:rsidRDefault="002F5F44" w:rsidP="002F5F44">
      <w:pPr>
        <w:pStyle w:val="Body"/>
        <w:widowControl w:val="0"/>
        <w:spacing w:after="0" w:line="240" w:lineRule="auto"/>
        <w:rPr>
          <w:rFonts w:ascii="Public Sans" w:hAnsi="Public Sans" w:cs="Segoe UI"/>
        </w:rPr>
      </w:pPr>
    </w:p>
    <w:bookmarkEnd w:id="0"/>
    <w:p w14:paraId="32FABB82" w14:textId="2AEC9DFE" w:rsidR="002F5F44" w:rsidRPr="00C56545" w:rsidRDefault="00234D13" w:rsidP="002F5F44">
      <w:pPr>
        <w:pStyle w:val="Body"/>
        <w:widowControl w:val="0"/>
        <w:spacing w:after="0" w:line="240" w:lineRule="auto"/>
        <w:rPr>
          <w:rFonts w:ascii="Public Sans" w:eastAsia="Helvetica" w:hAnsi="Public Sans" w:cs="Segoe UI"/>
          <w:b/>
          <w:sz w:val="18"/>
        </w:rPr>
      </w:pPr>
      <w:r w:rsidRPr="00C56545">
        <w:rPr>
          <w:rFonts w:ascii="Public Sans" w:eastAsia="Helvetica" w:hAnsi="Public Sans" w:cs="Segoe UI"/>
          <w:b/>
          <w:sz w:val="18"/>
        </w:rPr>
        <w:t>Table 8</w:t>
      </w:r>
      <w:r w:rsidR="002F5F44" w:rsidRPr="00C56545">
        <w:rPr>
          <w:rFonts w:ascii="Public Sans" w:eastAsia="Helvetica" w:hAnsi="Public Sans" w:cs="Segoe UI"/>
          <w:b/>
          <w:sz w:val="18"/>
        </w:rPr>
        <w:t xml:space="preserve">: Leading reported allegations in relation to adults with disability, </w:t>
      </w:r>
      <w:r w:rsidR="003033FC">
        <w:rPr>
          <w:rFonts w:ascii="Public Sans" w:eastAsia="Helvetica" w:hAnsi="Public Sans" w:cs="Segoe UI"/>
          <w:b/>
          <w:sz w:val="18"/>
        </w:rPr>
        <w:t>July</w:t>
      </w:r>
      <w:r w:rsidR="00C56545" w:rsidRPr="00C56545">
        <w:rPr>
          <w:rFonts w:ascii="Public Sans" w:eastAsia="Helvetica" w:hAnsi="Public Sans" w:cs="Segoe UI"/>
          <w:b/>
          <w:sz w:val="18"/>
        </w:rPr>
        <w:t>-</w:t>
      </w:r>
      <w:r w:rsidR="003033FC">
        <w:rPr>
          <w:rFonts w:ascii="Public Sans" w:eastAsia="Helvetica" w:hAnsi="Public Sans" w:cs="Segoe UI"/>
          <w:b/>
          <w:sz w:val="18"/>
        </w:rPr>
        <w:t>Sept</w:t>
      </w:r>
      <w:r w:rsidR="002F5F44" w:rsidRPr="00C56545">
        <w:rPr>
          <w:rFonts w:ascii="Public Sans" w:eastAsia="Helvetica" w:hAnsi="Public Sans" w:cs="Segoe UI"/>
          <w:b/>
          <w:sz w:val="18"/>
        </w:rPr>
        <w:t xml:space="preserve"> 202</w:t>
      </w:r>
      <w:r w:rsidR="003033FC">
        <w:rPr>
          <w:rFonts w:ascii="Public Sans" w:eastAsia="Helvetica" w:hAnsi="Public Sans" w:cs="Segoe UI"/>
          <w:b/>
          <w:sz w:val="18"/>
        </w:rPr>
        <w:t>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75"/>
        <w:gridCol w:w="7258"/>
        <w:gridCol w:w="1795"/>
      </w:tblGrid>
      <w:tr w:rsidR="002F5F44" w:rsidRPr="005576E4" w14:paraId="10CA9A5E" w14:textId="77777777" w:rsidTr="00A17B3D">
        <w:tc>
          <w:tcPr>
            <w:tcW w:w="299" w:type="pct"/>
            <w:shd w:val="clear" w:color="auto" w:fill="A5CCDF"/>
          </w:tcPr>
          <w:p w14:paraId="57F844F7" w14:textId="77777777" w:rsidR="002F5F44" w:rsidRPr="005576E4" w:rsidRDefault="002F5F44" w:rsidP="0064341B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1"/>
                <w:szCs w:val="21"/>
              </w:rPr>
            </w:pPr>
          </w:p>
        </w:tc>
        <w:tc>
          <w:tcPr>
            <w:tcW w:w="3769" w:type="pct"/>
            <w:shd w:val="clear" w:color="auto" w:fill="A5CCDF"/>
          </w:tcPr>
          <w:p w14:paraId="6A7A904B" w14:textId="77777777" w:rsidR="002F5F44" w:rsidRPr="005576E4" w:rsidRDefault="002F5F44" w:rsidP="0064341B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b/>
                <w:sz w:val="21"/>
                <w:szCs w:val="21"/>
              </w:rPr>
            </w:pPr>
            <w:r w:rsidRPr="005576E4">
              <w:rPr>
                <w:rFonts w:ascii="Public Sans" w:eastAsia="Helvetica" w:hAnsi="Public Sans" w:cs="Segoe UI"/>
                <w:b/>
                <w:sz w:val="21"/>
                <w:szCs w:val="21"/>
              </w:rPr>
              <w:t>Reported allegation</w:t>
            </w:r>
          </w:p>
        </w:tc>
        <w:tc>
          <w:tcPr>
            <w:tcW w:w="932" w:type="pct"/>
            <w:shd w:val="clear" w:color="auto" w:fill="A5CCDF"/>
          </w:tcPr>
          <w:p w14:paraId="7AFE81E8" w14:textId="77777777" w:rsidR="002F5F44" w:rsidRPr="005576E4" w:rsidRDefault="002F5F44" w:rsidP="0064341B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jc w:val="right"/>
              <w:rPr>
                <w:rFonts w:ascii="Public Sans" w:eastAsia="Helvetica" w:hAnsi="Public Sans" w:cs="Segoe UI"/>
                <w:b/>
                <w:sz w:val="21"/>
                <w:szCs w:val="21"/>
              </w:rPr>
            </w:pPr>
            <w:r w:rsidRPr="005576E4">
              <w:rPr>
                <w:rFonts w:ascii="Public Sans" w:eastAsia="Helvetica" w:hAnsi="Public Sans" w:cs="Segoe UI"/>
                <w:b/>
                <w:sz w:val="21"/>
                <w:szCs w:val="21"/>
              </w:rPr>
              <w:t>Number of cases</w:t>
            </w:r>
          </w:p>
        </w:tc>
      </w:tr>
      <w:tr w:rsidR="002B7852" w:rsidRPr="005576E4" w14:paraId="748B1CE0" w14:textId="77777777" w:rsidTr="00A17B3D">
        <w:tc>
          <w:tcPr>
            <w:tcW w:w="299" w:type="pct"/>
          </w:tcPr>
          <w:p w14:paraId="4790D001" w14:textId="77777777" w:rsidR="002B7852" w:rsidRDefault="002B7852" w:rsidP="0064341B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1.</w:t>
            </w:r>
          </w:p>
        </w:tc>
        <w:tc>
          <w:tcPr>
            <w:tcW w:w="3769" w:type="pct"/>
          </w:tcPr>
          <w:p w14:paraId="1988979F" w14:textId="0538FEEE" w:rsidR="002B7852" w:rsidRDefault="0093085B" w:rsidP="002930FB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 xml:space="preserve">Psychological abuse – preventing or restricting access to supports and services   </w:t>
            </w:r>
          </w:p>
        </w:tc>
        <w:tc>
          <w:tcPr>
            <w:tcW w:w="932" w:type="pct"/>
          </w:tcPr>
          <w:p w14:paraId="282D7FC3" w14:textId="02FA1424" w:rsidR="002B7852" w:rsidRDefault="0093085B" w:rsidP="0064341B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jc w:val="right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63</w:t>
            </w:r>
          </w:p>
        </w:tc>
      </w:tr>
      <w:tr w:rsidR="00C56545" w:rsidRPr="005576E4" w14:paraId="01A416A9" w14:textId="77777777" w:rsidTr="00A17B3D">
        <w:tc>
          <w:tcPr>
            <w:tcW w:w="299" w:type="pct"/>
          </w:tcPr>
          <w:p w14:paraId="17DFB0B1" w14:textId="77777777" w:rsidR="00C56545" w:rsidRPr="005576E4" w:rsidRDefault="002B7852" w:rsidP="0064341B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2</w:t>
            </w:r>
            <w:r w:rsidR="00C56545">
              <w:rPr>
                <w:rFonts w:ascii="Public Sans" w:eastAsia="Helvetica" w:hAnsi="Public Sans" w:cs="Segoe UI"/>
                <w:sz w:val="21"/>
                <w:szCs w:val="21"/>
              </w:rPr>
              <w:t>.</w:t>
            </w:r>
          </w:p>
        </w:tc>
        <w:tc>
          <w:tcPr>
            <w:tcW w:w="3769" w:type="pct"/>
          </w:tcPr>
          <w:p w14:paraId="7B8A3EC1" w14:textId="564EF85E" w:rsidR="00C56545" w:rsidRPr="005576E4" w:rsidRDefault="0093085B" w:rsidP="002930FB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Psychological abuse – verbal abuse</w:t>
            </w:r>
          </w:p>
        </w:tc>
        <w:tc>
          <w:tcPr>
            <w:tcW w:w="932" w:type="pct"/>
          </w:tcPr>
          <w:p w14:paraId="019664C2" w14:textId="0B9711B5" w:rsidR="00C56545" w:rsidRPr="005576E4" w:rsidRDefault="0093085B" w:rsidP="0064341B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jc w:val="right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60</w:t>
            </w:r>
          </w:p>
        </w:tc>
      </w:tr>
      <w:tr w:rsidR="00F85ADF" w:rsidRPr="005576E4" w14:paraId="0E5FACB3" w14:textId="77777777" w:rsidTr="00A17B3D">
        <w:tc>
          <w:tcPr>
            <w:tcW w:w="299" w:type="pct"/>
          </w:tcPr>
          <w:p w14:paraId="0F05FD02" w14:textId="77777777" w:rsidR="00F85ADF" w:rsidRPr="005576E4" w:rsidRDefault="00E212F5" w:rsidP="00F85ADF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3</w:t>
            </w:r>
            <w:r w:rsidR="00F85ADF">
              <w:rPr>
                <w:rFonts w:ascii="Public Sans" w:eastAsia="Helvetica" w:hAnsi="Public Sans" w:cs="Segoe UI"/>
                <w:sz w:val="21"/>
                <w:szCs w:val="21"/>
              </w:rPr>
              <w:t>.</w:t>
            </w:r>
          </w:p>
        </w:tc>
        <w:tc>
          <w:tcPr>
            <w:tcW w:w="3769" w:type="pct"/>
          </w:tcPr>
          <w:p w14:paraId="73C7E9C2" w14:textId="355BAC46" w:rsidR="00F85ADF" w:rsidRPr="005576E4" w:rsidRDefault="0093085B" w:rsidP="002B785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 xml:space="preserve">Financial exploitation  </w:t>
            </w:r>
          </w:p>
        </w:tc>
        <w:tc>
          <w:tcPr>
            <w:tcW w:w="932" w:type="pct"/>
          </w:tcPr>
          <w:p w14:paraId="575FB997" w14:textId="505AD0C6" w:rsidR="00F85ADF" w:rsidRPr="005576E4" w:rsidRDefault="0093085B" w:rsidP="00F85ADF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jc w:val="right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52</w:t>
            </w:r>
          </w:p>
        </w:tc>
      </w:tr>
      <w:tr w:rsidR="00F85ADF" w:rsidRPr="005576E4" w14:paraId="5241B642" w14:textId="77777777" w:rsidTr="00A17B3D">
        <w:tc>
          <w:tcPr>
            <w:tcW w:w="299" w:type="pct"/>
          </w:tcPr>
          <w:p w14:paraId="07711683" w14:textId="77777777" w:rsidR="00F85ADF" w:rsidRPr="005576E4" w:rsidRDefault="00F85ADF" w:rsidP="00F85ADF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 xml:space="preserve">4. </w:t>
            </w:r>
          </w:p>
        </w:tc>
        <w:tc>
          <w:tcPr>
            <w:tcW w:w="3769" w:type="pct"/>
          </w:tcPr>
          <w:p w14:paraId="18795E02" w14:textId="367620A2" w:rsidR="00F85ADF" w:rsidRPr="005576E4" w:rsidRDefault="0093085B" w:rsidP="002930FB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Psychological abuse – making excessive or degrading demands</w:t>
            </w:r>
          </w:p>
        </w:tc>
        <w:tc>
          <w:tcPr>
            <w:tcW w:w="932" w:type="pct"/>
          </w:tcPr>
          <w:p w14:paraId="031831F8" w14:textId="519265AE" w:rsidR="00F85ADF" w:rsidRPr="005576E4" w:rsidRDefault="0093085B" w:rsidP="00A547F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jc w:val="right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45</w:t>
            </w:r>
          </w:p>
        </w:tc>
      </w:tr>
      <w:tr w:rsidR="00E212F5" w:rsidRPr="005576E4" w14:paraId="474587E4" w14:textId="77777777" w:rsidTr="00A17B3D">
        <w:tc>
          <w:tcPr>
            <w:tcW w:w="299" w:type="pct"/>
          </w:tcPr>
          <w:p w14:paraId="3DF9E08A" w14:textId="3A99DDE2" w:rsidR="00E212F5" w:rsidRDefault="003033FC" w:rsidP="00F85ADF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5</w:t>
            </w:r>
            <w:r w:rsidR="00E212F5">
              <w:rPr>
                <w:rFonts w:ascii="Public Sans" w:eastAsia="Helvetica" w:hAnsi="Public Sans" w:cs="Segoe UI"/>
                <w:sz w:val="21"/>
                <w:szCs w:val="21"/>
              </w:rPr>
              <w:t>.</w:t>
            </w:r>
          </w:p>
        </w:tc>
        <w:tc>
          <w:tcPr>
            <w:tcW w:w="3769" w:type="pct"/>
          </w:tcPr>
          <w:p w14:paraId="3627E174" w14:textId="207AD15E" w:rsidR="00E212F5" w:rsidRDefault="0093085B" w:rsidP="002930FB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 xml:space="preserve">Neglect – failure to meet support needs </w:t>
            </w:r>
          </w:p>
        </w:tc>
        <w:tc>
          <w:tcPr>
            <w:tcW w:w="932" w:type="pct"/>
          </w:tcPr>
          <w:p w14:paraId="3300F862" w14:textId="59DE73F6" w:rsidR="00E212F5" w:rsidRPr="005576E4" w:rsidRDefault="0093085B" w:rsidP="00F85ADF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jc w:val="right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43</w:t>
            </w:r>
          </w:p>
        </w:tc>
      </w:tr>
      <w:tr w:rsidR="00F85ADF" w:rsidRPr="005576E4" w14:paraId="7E82B232" w14:textId="77777777" w:rsidTr="00A17B3D">
        <w:tc>
          <w:tcPr>
            <w:tcW w:w="299" w:type="pct"/>
          </w:tcPr>
          <w:p w14:paraId="517B09D2" w14:textId="77777777" w:rsidR="00F85ADF" w:rsidRDefault="00E212F5" w:rsidP="00F85ADF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6</w:t>
            </w:r>
            <w:r w:rsidR="00F85ADF">
              <w:rPr>
                <w:rFonts w:ascii="Public Sans" w:eastAsia="Helvetica" w:hAnsi="Public Sans" w:cs="Segoe UI"/>
                <w:sz w:val="21"/>
                <w:szCs w:val="21"/>
              </w:rPr>
              <w:t>.</w:t>
            </w:r>
          </w:p>
        </w:tc>
        <w:tc>
          <w:tcPr>
            <w:tcW w:w="3769" w:type="pct"/>
          </w:tcPr>
          <w:p w14:paraId="7834AEE1" w14:textId="46AD51EB" w:rsidR="00F85ADF" w:rsidRDefault="0093085B" w:rsidP="002930FB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 xml:space="preserve">Neglect – medical care </w:t>
            </w:r>
          </w:p>
        </w:tc>
        <w:tc>
          <w:tcPr>
            <w:tcW w:w="932" w:type="pct"/>
          </w:tcPr>
          <w:p w14:paraId="1825D5AB" w14:textId="4935CD3B" w:rsidR="00F85ADF" w:rsidRPr="005576E4" w:rsidRDefault="0093085B" w:rsidP="00F85ADF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jc w:val="right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35</w:t>
            </w:r>
          </w:p>
        </w:tc>
      </w:tr>
      <w:tr w:rsidR="00BE4951" w:rsidRPr="005576E4" w14:paraId="3FC81674" w14:textId="77777777" w:rsidTr="00A17B3D">
        <w:tc>
          <w:tcPr>
            <w:tcW w:w="299" w:type="pct"/>
          </w:tcPr>
          <w:p w14:paraId="76FB2764" w14:textId="77777777" w:rsidR="00BE4951" w:rsidRDefault="00BE4951" w:rsidP="00F85ADF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7.</w:t>
            </w:r>
          </w:p>
        </w:tc>
        <w:tc>
          <w:tcPr>
            <w:tcW w:w="3769" w:type="pct"/>
          </w:tcPr>
          <w:p w14:paraId="1C2311A7" w14:textId="6F9F2076" w:rsidR="00BE4951" w:rsidRDefault="0093085B" w:rsidP="00F85ADF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Physical abuse – hitting/kicking/punching</w:t>
            </w:r>
          </w:p>
        </w:tc>
        <w:tc>
          <w:tcPr>
            <w:tcW w:w="932" w:type="pct"/>
          </w:tcPr>
          <w:p w14:paraId="086903EB" w14:textId="7E2C83B8" w:rsidR="00BE4951" w:rsidRDefault="0093085B" w:rsidP="00F85ADF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jc w:val="right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25</w:t>
            </w:r>
          </w:p>
        </w:tc>
      </w:tr>
      <w:tr w:rsidR="00F85ADF" w:rsidRPr="005576E4" w14:paraId="49C37A55" w14:textId="77777777" w:rsidTr="00A17B3D">
        <w:tc>
          <w:tcPr>
            <w:tcW w:w="299" w:type="pct"/>
          </w:tcPr>
          <w:p w14:paraId="7A122FF0" w14:textId="77777777" w:rsidR="00F85ADF" w:rsidRPr="005576E4" w:rsidRDefault="00E212F5" w:rsidP="00F85ADF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8</w:t>
            </w:r>
            <w:r w:rsidR="00F85ADF" w:rsidRPr="005576E4">
              <w:rPr>
                <w:rFonts w:ascii="Public Sans" w:eastAsia="Helvetica" w:hAnsi="Public Sans" w:cs="Segoe UI"/>
                <w:sz w:val="21"/>
                <w:szCs w:val="21"/>
              </w:rPr>
              <w:t>.</w:t>
            </w:r>
          </w:p>
        </w:tc>
        <w:tc>
          <w:tcPr>
            <w:tcW w:w="3769" w:type="pct"/>
          </w:tcPr>
          <w:p w14:paraId="26C5F530" w14:textId="1B442637" w:rsidR="00F85ADF" w:rsidRPr="005576E4" w:rsidRDefault="0093085B" w:rsidP="00F85ADF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Psychological abuse – other psychological abuse</w:t>
            </w:r>
          </w:p>
        </w:tc>
        <w:tc>
          <w:tcPr>
            <w:tcW w:w="932" w:type="pct"/>
          </w:tcPr>
          <w:p w14:paraId="135BF49A" w14:textId="0A961C9C" w:rsidR="00F85ADF" w:rsidRPr="005576E4" w:rsidRDefault="0093085B" w:rsidP="00F85ADF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jc w:val="right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22</w:t>
            </w:r>
          </w:p>
        </w:tc>
      </w:tr>
      <w:tr w:rsidR="00F85ADF" w:rsidRPr="005576E4" w14:paraId="639EE04D" w14:textId="77777777" w:rsidTr="00A17B3D">
        <w:tc>
          <w:tcPr>
            <w:tcW w:w="299" w:type="pct"/>
          </w:tcPr>
          <w:p w14:paraId="6B38E62B" w14:textId="77777777" w:rsidR="00F85ADF" w:rsidRPr="005576E4" w:rsidRDefault="00F85ADF" w:rsidP="00F85ADF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9</w:t>
            </w:r>
            <w:r w:rsidRPr="005576E4">
              <w:rPr>
                <w:rFonts w:ascii="Public Sans" w:eastAsia="Helvetica" w:hAnsi="Public Sans" w:cs="Segoe UI"/>
                <w:sz w:val="21"/>
                <w:szCs w:val="21"/>
              </w:rPr>
              <w:t>.</w:t>
            </w:r>
          </w:p>
        </w:tc>
        <w:tc>
          <w:tcPr>
            <w:tcW w:w="3769" w:type="pct"/>
          </w:tcPr>
          <w:p w14:paraId="00E2F0EB" w14:textId="7FFCC658" w:rsidR="00F85ADF" w:rsidRPr="005576E4" w:rsidRDefault="0093085B" w:rsidP="00F85ADF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 xml:space="preserve">Financial abuse – preventing access to or withholding the person’s money </w:t>
            </w:r>
          </w:p>
        </w:tc>
        <w:tc>
          <w:tcPr>
            <w:tcW w:w="932" w:type="pct"/>
          </w:tcPr>
          <w:p w14:paraId="1D410D10" w14:textId="0310D529" w:rsidR="00F85ADF" w:rsidRPr="005576E4" w:rsidRDefault="0093085B" w:rsidP="00F85ADF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jc w:val="right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21</w:t>
            </w:r>
          </w:p>
        </w:tc>
      </w:tr>
      <w:tr w:rsidR="00E212F5" w:rsidRPr="005576E4" w14:paraId="76D45960" w14:textId="77777777" w:rsidTr="00A17B3D">
        <w:tc>
          <w:tcPr>
            <w:tcW w:w="299" w:type="pct"/>
          </w:tcPr>
          <w:p w14:paraId="0FE92643" w14:textId="77777777" w:rsidR="00E212F5" w:rsidRDefault="00E212F5" w:rsidP="00F85ADF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10.</w:t>
            </w:r>
          </w:p>
        </w:tc>
        <w:tc>
          <w:tcPr>
            <w:tcW w:w="3769" w:type="pct"/>
          </w:tcPr>
          <w:p w14:paraId="7E6D982D" w14:textId="11F63DEA" w:rsidR="00E212F5" w:rsidRDefault="00E212F5" w:rsidP="00E212F5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 xml:space="preserve">Psychological abuse – preventing or restricting access to </w:t>
            </w:r>
            <w:r w:rsidR="003033FC">
              <w:rPr>
                <w:rFonts w:ascii="Public Sans" w:eastAsia="Helvetica" w:hAnsi="Public Sans" w:cs="Segoe UI"/>
                <w:sz w:val="21"/>
                <w:szCs w:val="21"/>
              </w:rPr>
              <w:t>community</w:t>
            </w:r>
          </w:p>
        </w:tc>
        <w:tc>
          <w:tcPr>
            <w:tcW w:w="932" w:type="pct"/>
          </w:tcPr>
          <w:p w14:paraId="4D740443" w14:textId="7ADF407E" w:rsidR="00E212F5" w:rsidRDefault="003033FC" w:rsidP="00F85ADF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jc w:val="right"/>
              <w:rPr>
                <w:rFonts w:ascii="Public Sans" w:eastAsia="Helvetica" w:hAnsi="Public Sans" w:cs="Segoe UI"/>
                <w:sz w:val="21"/>
                <w:szCs w:val="21"/>
              </w:rPr>
            </w:pPr>
            <w:r>
              <w:rPr>
                <w:rFonts w:ascii="Public Sans" w:eastAsia="Helvetica" w:hAnsi="Public Sans" w:cs="Segoe UI"/>
                <w:sz w:val="21"/>
                <w:szCs w:val="21"/>
              </w:rPr>
              <w:t>19</w:t>
            </w:r>
          </w:p>
        </w:tc>
      </w:tr>
    </w:tbl>
    <w:p w14:paraId="4B75AC50" w14:textId="6CFD9686" w:rsidR="00DD4B9C" w:rsidRPr="00ED4C9C" w:rsidRDefault="00DD4B9C" w:rsidP="00DD4B9C">
      <w:pPr>
        <w:pStyle w:val="Heading1"/>
        <w:numPr>
          <w:ilvl w:val="0"/>
          <w:numId w:val="10"/>
        </w:numPr>
        <w:ind w:left="426" w:hanging="426"/>
        <w:rPr>
          <w:rFonts w:ascii="Public Sans" w:hAnsi="Public Sans"/>
          <w:b/>
          <w:color w:val="auto"/>
        </w:rPr>
      </w:pPr>
      <w:r w:rsidRPr="00ED4C9C">
        <w:rPr>
          <w:rFonts w:ascii="Public Sans" w:hAnsi="Public Sans"/>
          <w:b/>
          <w:color w:val="auto"/>
        </w:rPr>
        <w:t>Actions/ outcomes</w:t>
      </w:r>
    </w:p>
    <w:p w14:paraId="7C605D63" w14:textId="77777777" w:rsidR="001C3F32" w:rsidRPr="007D6AE2" w:rsidRDefault="00463D6D" w:rsidP="00967D3E">
      <w:pPr>
        <w:pStyle w:val="Body"/>
        <w:widowControl w:val="0"/>
        <w:spacing w:before="240" w:after="0" w:line="240" w:lineRule="auto"/>
        <w:rPr>
          <w:rFonts w:ascii="Public Sans" w:hAnsi="Public Sans" w:cs="Segoe UI"/>
          <w:b/>
          <w:color w:val="auto"/>
        </w:rPr>
      </w:pPr>
      <w:r w:rsidRPr="007D6AE2">
        <w:rPr>
          <w:rStyle w:val="Heading2Char"/>
          <w:rFonts w:ascii="Public Sans" w:hAnsi="Public Sans"/>
          <w:b/>
          <w:color w:val="auto"/>
        </w:rPr>
        <w:t>6.1</w:t>
      </w:r>
      <w:r w:rsidRPr="007D6AE2">
        <w:rPr>
          <w:rStyle w:val="Heading2Char"/>
          <w:rFonts w:ascii="Public Sans" w:hAnsi="Public Sans"/>
          <w:b/>
          <w:color w:val="auto"/>
        </w:rPr>
        <w:tab/>
      </w:r>
      <w:r w:rsidR="001C3F32" w:rsidRPr="007D6AE2">
        <w:rPr>
          <w:rStyle w:val="Heading2Char"/>
          <w:rFonts w:ascii="Public Sans" w:hAnsi="Public Sans"/>
          <w:b/>
          <w:color w:val="auto"/>
        </w:rPr>
        <w:t>Primary action by ADC</w:t>
      </w:r>
      <w:r w:rsidR="00AB1035" w:rsidRPr="007D6AE2">
        <w:rPr>
          <w:rStyle w:val="Heading2Char"/>
          <w:rFonts w:ascii="Public Sans" w:hAnsi="Public Sans"/>
          <w:b/>
          <w:color w:val="auto"/>
        </w:rPr>
        <w:t xml:space="preserve"> (closed reports)</w:t>
      </w:r>
    </w:p>
    <w:p w14:paraId="17EBA77D" w14:textId="77777777" w:rsidR="005D6C1F" w:rsidRPr="005576E4" w:rsidRDefault="005D6C1F" w:rsidP="005D6C1F">
      <w:pPr>
        <w:pStyle w:val="Body"/>
        <w:widowControl w:val="0"/>
        <w:spacing w:after="0" w:line="240" w:lineRule="auto"/>
        <w:rPr>
          <w:rFonts w:ascii="Public Sans" w:hAnsi="Public Sans" w:cs="Segoe UI"/>
        </w:rPr>
      </w:pPr>
    </w:p>
    <w:p w14:paraId="46851816" w14:textId="5272F26B" w:rsidR="00DD4B9C" w:rsidRPr="005576E4" w:rsidRDefault="00AC0B65" w:rsidP="005D6C1F">
      <w:pPr>
        <w:pStyle w:val="Body"/>
        <w:widowControl w:val="0"/>
        <w:spacing w:after="0" w:line="240" w:lineRule="auto"/>
        <w:rPr>
          <w:rFonts w:ascii="Public Sans" w:hAnsi="Public Sans" w:cs="Segoe UI"/>
        </w:rPr>
      </w:pPr>
      <w:r w:rsidRPr="00A90640">
        <w:rPr>
          <w:rFonts w:ascii="Public Sans" w:hAnsi="Public Sans" w:cs="Segoe UI"/>
        </w:rPr>
        <w:t>The ADC</w:t>
      </w:r>
      <w:r w:rsidRPr="005576E4">
        <w:rPr>
          <w:rFonts w:ascii="Public Sans" w:hAnsi="Public Sans" w:cs="Segoe UI"/>
        </w:rPr>
        <w:t xml:space="preserve"> closed </w:t>
      </w:r>
      <w:r w:rsidR="003141C6">
        <w:rPr>
          <w:rFonts w:ascii="Public Sans" w:hAnsi="Public Sans" w:cs="Segoe UI"/>
        </w:rPr>
        <w:t>1,</w:t>
      </w:r>
      <w:r w:rsidR="00D123CC">
        <w:rPr>
          <w:rFonts w:ascii="Public Sans" w:hAnsi="Public Sans" w:cs="Segoe UI"/>
        </w:rPr>
        <w:t xml:space="preserve">330 </w:t>
      </w:r>
      <w:r w:rsidRPr="005576E4">
        <w:rPr>
          <w:rFonts w:ascii="Public Sans" w:hAnsi="Public Sans" w:cs="Segoe UI"/>
        </w:rPr>
        <w:t xml:space="preserve">reports in </w:t>
      </w:r>
      <w:r w:rsidR="00FF485A">
        <w:rPr>
          <w:rFonts w:ascii="Public Sans" w:hAnsi="Public Sans" w:cs="Segoe UI"/>
        </w:rPr>
        <w:t>J</w:t>
      </w:r>
      <w:r w:rsidR="00D123CC">
        <w:rPr>
          <w:rFonts w:ascii="Public Sans" w:hAnsi="Public Sans" w:cs="Segoe UI"/>
        </w:rPr>
        <w:t>uly</w:t>
      </w:r>
      <w:r w:rsidR="00F869E8">
        <w:rPr>
          <w:rFonts w:ascii="Public Sans" w:hAnsi="Public Sans" w:cs="Segoe UI"/>
        </w:rPr>
        <w:t xml:space="preserve"> – </w:t>
      </w:r>
      <w:r w:rsidR="00D123CC">
        <w:rPr>
          <w:rFonts w:ascii="Public Sans" w:hAnsi="Public Sans" w:cs="Segoe UI"/>
        </w:rPr>
        <w:t>September</w:t>
      </w:r>
      <w:r w:rsidR="0014515E" w:rsidRPr="005576E4">
        <w:rPr>
          <w:rFonts w:ascii="Public Sans" w:hAnsi="Public Sans" w:cs="Segoe UI"/>
        </w:rPr>
        <w:t xml:space="preserve"> 202</w:t>
      </w:r>
      <w:r w:rsidR="00FF485A">
        <w:rPr>
          <w:rFonts w:ascii="Public Sans" w:hAnsi="Public Sans" w:cs="Segoe UI"/>
        </w:rPr>
        <w:t>3</w:t>
      </w:r>
      <w:r w:rsidRPr="005576E4">
        <w:rPr>
          <w:rFonts w:ascii="Public Sans" w:hAnsi="Public Sans" w:cs="Segoe UI"/>
        </w:rPr>
        <w:t>. Most of the reports (</w:t>
      </w:r>
      <w:r w:rsidR="00B16490">
        <w:rPr>
          <w:rFonts w:ascii="Public Sans" w:hAnsi="Public Sans" w:cs="Segoe UI"/>
        </w:rPr>
        <w:t>1,007</w:t>
      </w:r>
      <w:r w:rsidR="00A90640">
        <w:rPr>
          <w:rFonts w:ascii="Public Sans" w:hAnsi="Public Sans" w:cs="Segoe UI"/>
        </w:rPr>
        <w:t xml:space="preserve">; </w:t>
      </w:r>
      <w:r w:rsidR="00B16490">
        <w:rPr>
          <w:rFonts w:ascii="Public Sans" w:hAnsi="Public Sans" w:cs="Segoe UI"/>
        </w:rPr>
        <w:t>75.7</w:t>
      </w:r>
      <w:r w:rsidRPr="005576E4">
        <w:rPr>
          <w:rFonts w:ascii="Public Sans" w:hAnsi="Public Sans" w:cs="Segoe UI"/>
        </w:rPr>
        <w:t xml:space="preserve">%) were handled </w:t>
      </w:r>
      <w:r w:rsidR="009B4986" w:rsidRPr="005576E4">
        <w:rPr>
          <w:rFonts w:ascii="Public Sans" w:hAnsi="Public Sans" w:cs="Segoe UI"/>
        </w:rPr>
        <w:t xml:space="preserve">at an early point </w:t>
      </w:r>
      <w:r w:rsidRPr="005576E4">
        <w:rPr>
          <w:rFonts w:ascii="Public Sans" w:hAnsi="Public Sans" w:cs="Segoe UI"/>
        </w:rPr>
        <w:t xml:space="preserve">by </w:t>
      </w:r>
      <w:proofErr w:type="gramStart"/>
      <w:r w:rsidRPr="005576E4">
        <w:rPr>
          <w:rFonts w:ascii="Public Sans" w:hAnsi="Public Sans" w:cs="Segoe UI"/>
        </w:rPr>
        <w:t>providing assistance</w:t>
      </w:r>
      <w:proofErr w:type="gramEnd"/>
      <w:r w:rsidRPr="005576E4">
        <w:rPr>
          <w:rFonts w:ascii="Public Sans" w:hAnsi="Public Sans" w:cs="Segoe UI"/>
        </w:rPr>
        <w:t xml:space="preserve"> and support to the caller, referring </w:t>
      </w:r>
      <w:r w:rsidRPr="005576E4">
        <w:rPr>
          <w:rFonts w:ascii="Public Sans" w:hAnsi="Public Sans" w:cs="Segoe UI"/>
        </w:rPr>
        <w:lastRenderedPageBreak/>
        <w:t xml:space="preserve">matters to other appropriate parties, and providing early case coordination to the adult. </w:t>
      </w:r>
    </w:p>
    <w:p w14:paraId="7AF9EE3D" w14:textId="77777777" w:rsidR="001C3F32" w:rsidRPr="005576E4" w:rsidRDefault="001C3F32" w:rsidP="00D5664F">
      <w:pPr>
        <w:pStyle w:val="Body"/>
        <w:widowControl w:val="0"/>
        <w:spacing w:after="0" w:line="240" w:lineRule="auto"/>
        <w:rPr>
          <w:rFonts w:ascii="Public Sans" w:hAnsi="Public Sans" w:cs="Segoe UI"/>
        </w:rPr>
      </w:pPr>
    </w:p>
    <w:p w14:paraId="613589BA" w14:textId="56CFBF47" w:rsidR="001C3F32" w:rsidRPr="005576E4" w:rsidRDefault="001C3F32" w:rsidP="00D5664F">
      <w:pPr>
        <w:pStyle w:val="Body"/>
        <w:widowControl w:val="0"/>
        <w:spacing w:after="0" w:line="240" w:lineRule="auto"/>
        <w:rPr>
          <w:rFonts w:ascii="Public Sans" w:hAnsi="Public Sans" w:cs="Segoe UI"/>
        </w:rPr>
      </w:pPr>
      <w:r w:rsidRPr="005576E4">
        <w:rPr>
          <w:rFonts w:ascii="Public Sans" w:hAnsi="Public Sans" w:cs="Segoe UI"/>
        </w:rPr>
        <w:t xml:space="preserve">In </w:t>
      </w:r>
      <w:r w:rsidR="00B16490">
        <w:rPr>
          <w:rFonts w:ascii="Public Sans" w:hAnsi="Public Sans" w:cs="Segoe UI"/>
        </w:rPr>
        <w:t>304</w:t>
      </w:r>
      <w:r w:rsidRPr="005576E4">
        <w:rPr>
          <w:rFonts w:ascii="Public Sans" w:hAnsi="Public Sans" w:cs="Segoe UI"/>
        </w:rPr>
        <w:t xml:space="preserve"> reports closed in th</w:t>
      </w:r>
      <w:r w:rsidR="000C33EC" w:rsidRPr="005576E4">
        <w:rPr>
          <w:rFonts w:ascii="Public Sans" w:hAnsi="Public Sans" w:cs="Segoe UI"/>
        </w:rPr>
        <w:t>is period</w:t>
      </w:r>
      <w:r w:rsidR="009474D2" w:rsidRPr="005576E4">
        <w:rPr>
          <w:rFonts w:ascii="Public Sans" w:hAnsi="Public Sans" w:cs="Segoe UI"/>
        </w:rPr>
        <w:t xml:space="preserve"> (</w:t>
      </w:r>
      <w:r w:rsidR="00B16490">
        <w:rPr>
          <w:rFonts w:ascii="Public Sans" w:hAnsi="Public Sans" w:cs="Segoe UI"/>
        </w:rPr>
        <w:t>22.9</w:t>
      </w:r>
      <w:r w:rsidR="009474D2" w:rsidRPr="005576E4">
        <w:rPr>
          <w:rFonts w:ascii="Public Sans" w:hAnsi="Public Sans" w:cs="Segoe UI"/>
        </w:rPr>
        <w:t>%)</w:t>
      </w:r>
      <w:r w:rsidRPr="005576E4">
        <w:rPr>
          <w:rFonts w:ascii="Public Sans" w:hAnsi="Public Sans" w:cs="Segoe UI"/>
        </w:rPr>
        <w:t xml:space="preserve">, </w:t>
      </w:r>
      <w:r w:rsidR="00463D6D" w:rsidRPr="005576E4">
        <w:rPr>
          <w:rFonts w:ascii="Public Sans" w:hAnsi="Public Sans" w:cs="Segoe UI"/>
        </w:rPr>
        <w:t xml:space="preserve">the primary action taken by the ADC involved further </w:t>
      </w:r>
      <w:r w:rsidR="000C33EC" w:rsidRPr="005576E4">
        <w:rPr>
          <w:rFonts w:ascii="Public Sans" w:hAnsi="Public Sans" w:cs="Segoe UI"/>
        </w:rPr>
        <w:t>work</w:t>
      </w:r>
      <w:r w:rsidR="00463D6D" w:rsidRPr="005576E4">
        <w:rPr>
          <w:rFonts w:ascii="Public Sans" w:hAnsi="Public Sans" w:cs="Segoe UI"/>
        </w:rPr>
        <w:t xml:space="preserve"> on the report, including making inquiries; working with the adult and other parties to address risks and improve outcomes; referring the matter to NSW Police; and</w:t>
      </w:r>
      <w:r w:rsidR="000C33EC" w:rsidRPr="005576E4">
        <w:rPr>
          <w:rFonts w:ascii="Public Sans" w:hAnsi="Public Sans" w:cs="Segoe UI"/>
        </w:rPr>
        <w:t>/or</w:t>
      </w:r>
      <w:r w:rsidR="00463D6D" w:rsidRPr="005576E4">
        <w:rPr>
          <w:rFonts w:ascii="Public Sans" w:hAnsi="Public Sans" w:cs="Segoe UI"/>
        </w:rPr>
        <w:t xml:space="preserve"> investigating. </w:t>
      </w:r>
    </w:p>
    <w:p w14:paraId="5DF1903E" w14:textId="77777777" w:rsidR="00DD4B9C" w:rsidRPr="005576E4" w:rsidRDefault="00DD4B9C" w:rsidP="000F7810">
      <w:pPr>
        <w:pStyle w:val="Body"/>
        <w:widowControl w:val="0"/>
        <w:spacing w:after="0" w:line="240" w:lineRule="auto"/>
        <w:rPr>
          <w:rFonts w:ascii="Public Sans" w:hAnsi="Public Sans" w:cs="Segoe UI"/>
        </w:rPr>
      </w:pPr>
    </w:p>
    <w:p w14:paraId="1737750A" w14:textId="77777777" w:rsidR="001C3F32" w:rsidRPr="007D6AE2" w:rsidRDefault="00463D6D" w:rsidP="00463D6D">
      <w:pPr>
        <w:pStyle w:val="Heading2"/>
        <w:rPr>
          <w:rFonts w:ascii="Public Sans" w:hAnsi="Public Sans"/>
          <w:b/>
          <w:color w:val="auto"/>
        </w:rPr>
      </w:pPr>
      <w:r w:rsidRPr="007D6AE2">
        <w:rPr>
          <w:rFonts w:ascii="Public Sans" w:hAnsi="Public Sans"/>
          <w:b/>
          <w:color w:val="auto"/>
        </w:rPr>
        <w:t xml:space="preserve">6.2 </w:t>
      </w:r>
      <w:r w:rsidRPr="007D6AE2">
        <w:rPr>
          <w:rFonts w:ascii="Public Sans" w:hAnsi="Public Sans"/>
          <w:b/>
          <w:color w:val="auto"/>
        </w:rPr>
        <w:tab/>
        <w:t>Person outcomes</w:t>
      </w:r>
    </w:p>
    <w:p w14:paraId="4591C44B" w14:textId="06F1DCA0" w:rsidR="0090069D" w:rsidRPr="005576E4" w:rsidRDefault="0090069D" w:rsidP="00EE7CF1">
      <w:pPr>
        <w:pStyle w:val="Body"/>
        <w:widowControl w:val="0"/>
        <w:spacing w:before="240" w:after="0" w:line="240" w:lineRule="auto"/>
        <w:rPr>
          <w:rFonts w:ascii="Public Sans" w:hAnsi="Public Sans" w:cs="Segoe UI"/>
        </w:rPr>
      </w:pPr>
      <w:r w:rsidRPr="005576E4">
        <w:rPr>
          <w:rFonts w:ascii="Public Sans" w:hAnsi="Public Sans" w:cs="Segoe UI"/>
        </w:rPr>
        <w:t xml:space="preserve">In relation to the </w:t>
      </w:r>
      <w:r w:rsidR="00730139">
        <w:rPr>
          <w:rFonts w:ascii="Public Sans" w:hAnsi="Public Sans" w:cs="Segoe UI"/>
        </w:rPr>
        <w:t>1,</w:t>
      </w:r>
      <w:r w:rsidR="009A1697">
        <w:rPr>
          <w:rFonts w:ascii="Public Sans" w:hAnsi="Public Sans" w:cs="Segoe UI"/>
        </w:rPr>
        <w:t>330</w:t>
      </w:r>
      <w:r w:rsidRPr="005576E4">
        <w:rPr>
          <w:rFonts w:ascii="Public Sans" w:hAnsi="Public Sans" w:cs="Segoe UI"/>
        </w:rPr>
        <w:t xml:space="preserve"> reports closed in </w:t>
      </w:r>
      <w:r w:rsidR="00C25FBE">
        <w:rPr>
          <w:rFonts w:ascii="Public Sans" w:hAnsi="Public Sans" w:cs="Segoe UI"/>
        </w:rPr>
        <w:t>J</w:t>
      </w:r>
      <w:r w:rsidR="009A1697">
        <w:rPr>
          <w:rFonts w:ascii="Public Sans" w:hAnsi="Public Sans" w:cs="Segoe UI"/>
        </w:rPr>
        <w:t>uly</w:t>
      </w:r>
      <w:r w:rsidRPr="005576E4">
        <w:rPr>
          <w:rFonts w:ascii="Public Sans" w:hAnsi="Public Sans" w:cs="Segoe UI"/>
        </w:rPr>
        <w:t xml:space="preserve"> – </w:t>
      </w:r>
      <w:r w:rsidR="009A1697">
        <w:rPr>
          <w:rFonts w:ascii="Public Sans" w:hAnsi="Public Sans" w:cs="Segoe UI"/>
        </w:rPr>
        <w:t>September</w:t>
      </w:r>
      <w:r w:rsidRPr="005576E4">
        <w:rPr>
          <w:rFonts w:ascii="Public Sans" w:hAnsi="Public Sans" w:cs="Segoe UI"/>
        </w:rPr>
        <w:t xml:space="preserve"> 202</w:t>
      </w:r>
      <w:r w:rsidR="00C25FBE">
        <w:rPr>
          <w:rFonts w:ascii="Public Sans" w:hAnsi="Public Sans" w:cs="Segoe UI"/>
        </w:rPr>
        <w:t>3</w:t>
      </w:r>
      <w:r w:rsidRPr="005576E4">
        <w:rPr>
          <w:rFonts w:ascii="Public Sans" w:hAnsi="Public Sans" w:cs="Segoe UI"/>
        </w:rPr>
        <w:t xml:space="preserve">, key outcomes for the older people and adults with disability included that their views and wishes were ascertained and respected; </w:t>
      </w:r>
      <w:r w:rsidR="00C41AB9">
        <w:rPr>
          <w:rFonts w:ascii="Public Sans" w:hAnsi="Public Sans" w:cs="Segoe UI"/>
        </w:rPr>
        <w:t xml:space="preserve">they were assisted to access </w:t>
      </w:r>
      <w:r w:rsidR="00395A8A">
        <w:rPr>
          <w:rFonts w:ascii="Public Sans" w:hAnsi="Public Sans" w:cs="Segoe UI"/>
        </w:rPr>
        <w:t xml:space="preserve">necessary </w:t>
      </w:r>
      <w:r w:rsidR="00967D3E">
        <w:rPr>
          <w:rFonts w:ascii="Public Sans" w:hAnsi="Public Sans" w:cs="Segoe UI"/>
        </w:rPr>
        <w:t xml:space="preserve">and increased </w:t>
      </w:r>
      <w:r w:rsidR="00395A8A">
        <w:rPr>
          <w:rFonts w:ascii="Public Sans" w:hAnsi="Public Sans" w:cs="Segoe UI"/>
        </w:rPr>
        <w:t>supports;</w:t>
      </w:r>
      <w:r w:rsidRPr="005576E4">
        <w:rPr>
          <w:rFonts w:ascii="Public Sans" w:hAnsi="Public Sans" w:cs="Segoe UI"/>
        </w:rPr>
        <w:t xml:space="preserve"> </w:t>
      </w:r>
      <w:r w:rsidR="00BE29D3">
        <w:rPr>
          <w:rFonts w:ascii="Public Sans" w:hAnsi="Public Sans" w:cs="Segoe UI"/>
        </w:rPr>
        <w:t xml:space="preserve">and </w:t>
      </w:r>
      <w:r w:rsidR="00FE37AE">
        <w:rPr>
          <w:rFonts w:ascii="Public Sans" w:hAnsi="Public Sans" w:cs="Segoe UI"/>
        </w:rPr>
        <w:t xml:space="preserve">they </w:t>
      </w:r>
      <w:r w:rsidR="004122E7">
        <w:rPr>
          <w:rFonts w:ascii="Public Sans" w:hAnsi="Public Sans" w:cs="Segoe UI"/>
        </w:rPr>
        <w:t>moved to safer accommodation</w:t>
      </w:r>
      <w:r w:rsidR="00BE29D3">
        <w:rPr>
          <w:rFonts w:ascii="Public Sans" w:hAnsi="Public Sans" w:cs="Segoe UI"/>
        </w:rPr>
        <w:t>.</w:t>
      </w:r>
    </w:p>
    <w:p w14:paraId="04244BEA" w14:textId="77777777" w:rsidR="0090069D" w:rsidRPr="005576E4" w:rsidRDefault="0090069D" w:rsidP="0090069D">
      <w:pPr>
        <w:pStyle w:val="Body"/>
        <w:widowControl w:val="0"/>
        <w:spacing w:after="0" w:line="240" w:lineRule="auto"/>
        <w:rPr>
          <w:rFonts w:ascii="Public Sans" w:hAnsi="Public Sans" w:cs="Segoe UI"/>
        </w:rPr>
      </w:pPr>
    </w:p>
    <w:p w14:paraId="7F80FB3D" w14:textId="0CC284AA" w:rsidR="0090069D" w:rsidRPr="007D6AE2" w:rsidRDefault="0090069D" w:rsidP="0090069D">
      <w:pPr>
        <w:spacing w:after="0" w:line="240" w:lineRule="auto"/>
        <w:rPr>
          <w:rFonts w:ascii="Public Sans" w:hAnsi="Public Sans"/>
          <w:b/>
          <w:sz w:val="18"/>
        </w:rPr>
      </w:pPr>
      <w:r w:rsidRPr="007D6AE2">
        <w:rPr>
          <w:rFonts w:ascii="Public Sans" w:hAnsi="Public Sans"/>
          <w:b/>
          <w:sz w:val="18"/>
        </w:rPr>
        <w:t xml:space="preserve">Table </w:t>
      </w:r>
      <w:r w:rsidR="00BD1590">
        <w:rPr>
          <w:rFonts w:ascii="Public Sans" w:hAnsi="Public Sans"/>
          <w:b/>
          <w:sz w:val="18"/>
        </w:rPr>
        <w:t>9</w:t>
      </w:r>
      <w:r w:rsidRPr="007D6AE2">
        <w:rPr>
          <w:rFonts w:ascii="Public Sans" w:hAnsi="Public Sans"/>
          <w:b/>
          <w:sz w:val="18"/>
        </w:rPr>
        <w:t>: Leading outcomes for the person the subject of a report to the ADC, reports closed</w:t>
      </w:r>
      <w:r w:rsidR="0093282B">
        <w:rPr>
          <w:rFonts w:ascii="Public Sans" w:hAnsi="Public Sans"/>
          <w:b/>
          <w:sz w:val="18"/>
        </w:rPr>
        <w:t xml:space="preserve"> </w:t>
      </w:r>
      <w:r w:rsidR="00FE37AE">
        <w:rPr>
          <w:rFonts w:ascii="Public Sans" w:hAnsi="Public Sans"/>
          <w:b/>
          <w:sz w:val="18"/>
        </w:rPr>
        <w:t>J</w:t>
      </w:r>
      <w:r w:rsidR="009A1697">
        <w:rPr>
          <w:rFonts w:ascii="Public Sans" w:hAnsi="Public Sans"/>
          <w:b/>
          <w:sz w:val="18"/>
        </w:rPr>
        <w:t>uly-Sept</w:t>
      </w:r>
      <w:r w:rsidRPr="007D6AE2">
        <w:rPr>
          <w:rFonts w:ascii="Public Sans" w:hAnsi="Public Sans"/>
          <w:b/>
          <w:sz w:val="18"/>
        </w:rPr>
        <w:t xml:space="preserve"> 202</w:t>
      </w:r>
      <w:r w:rsidR="00FE37AE">
        <w:rPr>
          <w:rFonts w:ascii="Public Sans" w:hAnsi="Public Sans"/>
          <w:b/>
          <w:sz w:val="18"/>
        </w:rPr>
        <w:t>3</w:t>
      </w:r>
    </w:p>
    <w:tbl>
      <w:tblPr>
        <w:tblW w:w="4709" w:type="pct"/>
        <w:tblLook w:val="04A0" w:firstRow="1" w:lastRow="0" w:firstColumn="1" w:lastColumn="0" w:noHBand="0" w:noVBand="1"/>
      </w:tblPr>
      <w:tblGrid>
        <w:gridCol w:w="7000"/>
        <w:gridCol w:w="2068"/>
      </w:tblGrid>
      <w:tr w:rsidR="0090069D" w:rsidRPr="009A2E70" w14:paraId="62D4B6B7" w14:textId="77777777" w:rsidTr="00967D3E">
        <w:trPr>
          <w:trHeight w:val="421"/>
        </w:trPr>
        <w:tc>
          <w:tcPr>
            <w:tcW w:w="3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CDF"/>
            <w:vAlign w:val="bottom"/>
            <w:hideMark/>
          </w:tcPr>
          <w:p w14:paraId="12334BF3" w14:textId="77777777" w:rsidR="0090069D" w:rsidRPr="009A2E70" w:rsidRDefault="0090069D" w:rsidP="008202F1">
            <w:pPr>
              <w:spacing w:after="0" w:line="240" w:lineRule="auto"/>
              <w:rPr>
                <w:rFonts w:ascii="Public Sans" w:eastAsia="Times New Roman" w:hAnsi="Public Sans" w:cs="Times New Roman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9A2E70">
              <w:rPr>
                <w:rFonts w:ascii="Public Sans" w:eastAsia="Times New Roman" w:hAnsi="Public Sans" w:cs="Times New Roman"/>
                <w:b/>
                <w:bCs/>
                <w:color w:val="000000"/>
                <w:sz w:val="21"/>
                <w:szCs w:val="21"/>
                <w:lang w:eastAsia="en-AU"/>
              </w:rPr>
              <w:t>Person outcomes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CDF"/>
            <w:vAlign w:val="bottom"/>
            <w:hideMark/>
          </w:tcPr>
          <w:p w14:paraId="54F55542" w14:textId="77777777" w:rsidR="0090069D" w:rsidRPr="009A2E70" w:rsidRDefault="0090069D" w:rsidP="008202F1">
            <w:pPr>
              <w:spacing w:after="0" w:line="240" w:lineRule="auto"/>
              <w:rPr>
                <w:rFonts w:ascii="Public Sans" w:eastAsia="Times New Roman" w:hAnsi="Public Sans" w:cs="Times New Roman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9A2E70">
              <w:rPr>
                <w:rFonts w:ascii="Public Sans" w:eastAsia="Times New Roman" w:hAnsi="Public Sans" w:cs="Times New Roman"/>
                <w:b/>
                <w:bCs/>
                <w:color w:val="000000"/>
                <w:sz w:val="21"/>
                <w:szCs w:val="21"/>
                <w:lang w:eastAsia="en-AU"/>
              </w:rPr>
              <w:t>Number of cases</w:t>
            </w:r>
            <w:r w:rsidRPr="009A2E70">
              <w:rPr>
                <w:rStyle w:val="FootnoteReference"/>
                <w:rFonts w:ascii="Public Sans" w:eastAsia="Times New Roman" w:hAnsi="Public Sans"/>
                <w:b/>
                <w:bCs/>
                <w:color w:val="000000"/>
                <w:sz w:val="21"/>
                <w:szCs w:val="21"/>
                <w:lang w:eastAsia="en-AU"/>
              </w:rPr>
              <w:footnoteReference w:id="8"/>
            </w:r>
          </w:p>
        </w:tc>
      </w:tr>
      <w:tr w:rsidR="0090069D" w:rsidRPr="009A2E70" w14:paraId="2EC28E5E" w14:textId="77777777" w:rsidTr="00967D3E">
        <w:trPr>
          <w:trHeight w:val="315"/>
        </w:trPr>
        <w:tc>
          <w:tcPr>
            <w:tcW w:w="386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28058" w14:textId="77777777" w:rsidR="0090069D" w:rsidRPr="009A2E70" w:rsidRDefault="0090069D" w:rsidP="008202F1">
            <w:pPr>
              <w:spacing w:after="0" w:line="240" w:lineRule="auto"/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 w:rsidRPr="009A2E70"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Will and preference of Person ascertained</w:t>
            </w:r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B27F17" w14:textId="2332C36C" w:rsidR="0090069D" w:rsidRPr="009A2E70" w:rsidRDefault="00E17610" w:rsidP="00FB4EBB">
            <w:pPr>
              <w:spacing w:after="0" w:line="240" w:lineRule="auto"/>
              <w:jc w:val="right"/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166</w:t>
            </w:r>
          </w:p>
        </w:tc>
      </w:tr>
      <w:tr w:rsidR="0090069D" w:rsidRPr="009A2E70" w14:paraId="0110CC02" w14:textId="77777777" w:rsidTr="00967D3E">
        <w:trPr>
          <w:trHeight w:val="315"/>
        </w:trPr>
        <w:tc>
          <w:tcPr>
            <w:tcW w:w="3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C6D08" w14:textId="77777777" w:rsidR="0090069D" w:rsidRPr="009A2E70" w:rsidRDefault="0090069D" w:rsidP="008202F1">
            <w:pPr>
              <w:spacing w:after="0" w:line="240" w:lineRule="auto"/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 w:rsidRPr="009A2E70"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Will and preference of Person respected/upheld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4FD7A6" w14:textId="6517787D" w:rsidR="0090069D" w:rsidRPr="009A2E70" w:rsidRDefault="00E17610" w:rsidP="00FB4EBB">
            <w:pPr>
              <w:spacing w:after="0" w:line="240" w:lineRule="auto"/>
              <w:jc w:val="right"/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153</w:t>
            </w:r>
          </w:p>
        </w:tc>
      </w:tr>
      <w:tr w:rsidR="0093282B" w:rsidRPr="009A2E70" w14:paraId="59272033" w14:textId="77777777" w:rsidTr="00967D3E">
        <w:trPr>
          <w:trHeight w:val="315"/>
        </w:trPr>
        <w:tc>
          <w:tcPr>
            <w:tcW w:w="3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6F0DE3" w14:textId="77777777" w:rsidR="0093282B" w:rsidRPr="0093282B" w:rsidRDefault="00285258" w:rsidP="0093282B">
            <w:pPr>
              <w:spacing w:after="0" w:line="240" w:lineRule="auto"/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Referral or help to access legal support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74C144" w14:textId="6658A0DE" w:rsidR="0093282B" w:rsidRPr="009A2E70" w:rsidRDefault="00E17610" w:rsidP="0093282B">
            <w:pPr>
              <w:spacing w:after="0" w:line="240" w:lineRule="auto"/>
              <w:jc w:val="right"/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37</w:t>
            </w:r>
          </w:p>
        </w:tc>
      </w:tr>
      <w:tr w:rsidR="0093282B" w:rsidRPr="009A2E70" w14:paraId="032FE573" w14:textId="77777777" w:rsidTr="00967D3E">
        <w:trPr>
          <w:trHeight w:val="315"/>
        </w:trPr>
        <w:tc>
          <w:tcPr>
            <w:tcW w:w="3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0B1DD7" w14:textId="77777777" w:rsidR="0093282B" w:rsidRPr="009A2E70" w:rsidRDefault="00285258" w:rsidP="0093282B">
            <w:pPr>
              <w:spacing w:after="0" w:line="240" w:lineRule="auto"/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Referral or help to access aged care supports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84AEBA" w14:textId="0287B3D9" w:rsidR="0093282B" w:rsidRPr="009A2E70" w:rsidRDefault="00E17610" w:rsidP="0093282B">
            <w:pPr>
              <w:spacing w:after="0" w:line="240" w:lineRule="auto"/>
              <w:jc w:val="right"/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27</w:t>
            </w:r>
          </w:p>
        </w:tc>
      </w:tr>
      <w:tr w:rsidR="0093282B" w:rsidRPr="009A2E70" w14:paraId="620C5CAF" w14:textId="77777777" w:rsidTr="00967D3E">
        <w:trPr>
          <w:trHeight w:val="315"/>
        </w:trPr>
        <w:tc>
          <w:tcPr>
            <w:tcW w:w="3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821204" w14:textId="4086A0F8" w:rsidR="0093282B" w:rsidRPr="009A2E70" w:rsidRDefault="00E17610" w:rsidP="00285258">
            <w:pPr>
              <w:spacing w:after="0" w:line="240" w:lineRule="auto"/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Change in accommodation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FA07DD" w14:textId="0D9344FB" w:rsidR="0093282B" w:rsidRPr="009A2E70" w:rsidRDefault="00E17610" w:rsidP="0093282B">
            <w:pPr>
              <w:spacing w:after="0" w:line="240" w:lineRule="auto"/>
              <w:jc w:val="right"/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15</w:t>
            </w:r>
          </w:p>
        </w:tc>
      </w:tr>
      <w:tr w:rsidR="00E17610" w:rsidRPr="009A2E70" w14:paraId="7AFCCFA1" w14:textId="77777777" w:rsidTr="00967D3E">
        <w:trPr>
          <w:trHeight w:val="315"/>
        </w:trPr>
        <w:tc>
          <w:tcPr>
            <w:tcW w:w="3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F13DFD" w14:textId="04988FE4" w:rsidR="00E17610" w:rsidRDefault="00E17610" w:rsidP="00E17610">
            <w:pPr>
              <w:spacing w:after="0" w:line="240" w:lineRule="auto"/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Referral or help to access other supports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E3B753" w14:textId="60CFD397" w:rsidR="00E17610" w:rsidRPr="009A2E70" w:rsidRDefault="00E17610" w:rsidP="00E17610">
            <w:pPr>
              <w:spacing w:after="0" w:line="240" w:lineRule="auto"/>
              <w:jc w:val="right"/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15</w:t>
            </w:r>
          </w:p>
        </w:tc>
      </w:tr>
      <w:tr w:rsidR="00E17610" w:rsidRPr="009A2E70" w14:paraId="7DA1A858" w14:textId="77777777" w:rsidTr="00967D3E">
        <w:trPr>
          <w:trHeight w:val="315"/>
        </w:trPr>
        <w:tc>
          <w:tcPr>
            <w:tcW w:w="3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C8BF63" w14:textId="335EC4BE" w:rsidR="00E17610" w:rsidRDefault="00E17610" w:rsidP="00285258">
            <w:pPr>
              <w:spacing w:after="0" w:line="240" w:lineRule="auto"/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Aged care support provided/increased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630ACA" w14:textId="22FA23A6" w:rsidR="00E17610" w:rsidRPr="009A2E70" w:rsidRDefault="00E17610" w:rsidP="0093282B">
            <w:pPr>
              <w:spacing w:after="0" w:line="240" w:lineRule="auto"/>
              <w:jc w:val="right"/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15</w:t>
            </w:r>
          </w:p>
        </w:tc>
      </w:tr>
      <w:tr w:rsidR="00E17610" w:rsidRPr="009A2E70" w14:paraId="5CB1BD08" w14:textId="77777777" w:rsidTr="00967D3E">
        <w:trPr>
          <w:trHeight w:val="315"/>
        </w:trPr>
        <w:tc>
          <w:tcPr>
            <w:tcW w:w="3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8E4FE4" w14:textId="61378498" w:rsidR="00E17610" w:rsidRDefault="00E17610" w:rsidP="00E17610">
            <w:pPr>
              <w:spacing w:after="0" w:line="240" w:lineRule="auto"/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Other supports provided/increased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9B9BB8" w14:textId="0FEB1B5D" w:rsidR="00E17610" w:rsidRPr="009A2E70" w:rsidRDefault="00E17610" w:rsidP="00E17610">
            <w:pPr>
              <w:spacing w:after="0" w:line="240" w:lineRule="auto"/>
              <w:jc w:val="right"/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13</w:t>
            </w:r>
          </w:p>
        </w:tc>
      </w:tr>
      <w:tr w:rsidR="0093282B" w:rsidRPr="009A2E70" w14:paraId="64A686E0" w14:textId="77777777" w:rsidTr="00967D3E">
        <w:trPr>
          <w:trHeight w:val="315"/>
        </w:trPr>
        <w:tc>
          <w:tcPr>
            <w:tcW w:w="3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FDA787" w14:textId="77777777" w:rsidR="0093282B" w:rsidRPr="009A2E70" w:rsidRDefault="0093282B" w:rsidP="0093282B">
            <w:pPr>
              <w:spacing w:after="0" w:line="240" w:lineRule="auto"/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Other police/justice action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10C6C6" w14:textId="1F82E1E6" w:rsidR="0093282B" w:rsidRDefault="00E17610" w:rsidP="0093282B">
            <w:pPr>
              <w:spacing w:after="0" w:line="240" w:lineRule="auto"/>
              <w:jc w:val="right"/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10</w:t>
            </w:r>
          </w:p>
        </w:tc>
      </w:tr>
      <w:tr w:rsidR="00E17610" w:rsidRPr="009A2E70" w14:paraId="2695DD40" w14:textId="77777777" w:rsidTr="00967D3E">
        <w:trPr>
          <w:trHeight w:val="315"/>
        </w:trPr>
        <w:tc>
          <w:tcPr>
            <w:tcW w:w="3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3798BF" w14:textId="38A9FEF8" w:rsidR="00E17610" w:rsidRDefault="00E17610" w:rsidP="00285258">
            <w:pPr>
              <w:spacing w:after="0" w:line="240" w:lineRule="auto"/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Referral or health to access advocacy support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EBBBF1" w14:textId="65624ECF" w:rsidR="00E17610" w:rsidRPr="009A2E70" w:rsidRDefault="00E17610" w:rsidP="0093282B">
            <w:pPr>
              <w:spacing w:after="0" w:line="240" w:lineRule="auto"/>
              <w:jc w:val="right"/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10</w:t>
            </w:r>
          </w:p>
        </w:tc>
      </w:tr>
      <w:tr w:rsidR="0093282B" w:rsidRPr="009A2E70" w14:paraId="24CF1DF0" w14:textId="77777777" w:rsidTr="00967D3E">
        <w:trPr>
          <w:trHeight w:val="315"/>
        </w:trPr>
        <w:tc>
          <w:tcPr>
            <w:tcW w:w="3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911D68" w14:textId="3B8119E3" w:rsidR="0093282B" w:rsidRPr="009A2E70" w:rsidRDefault="00E17610" w:rsidP="00285258">
            <w:pPr>
              <w:spacing w:after="0" w:line="240" w:lineRule="auto"/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Referral or help to access disability supports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221D69" w14:textId="07764DEB" w:rsidR="0093282B" w:rsidRPr="009A2E70" w:rsidRDefault="00E17610" w:rsidP="0093282B">
            <w:pPr>
              <w:spacing w:after="0" w:line="240" w:lineRule="auto"/>
              <w:jc w:val="right"/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9</w:t>
            </w:r>
          </w:p>
        </w:tc>
      </w:tr>
      <w:tr w:rsidR="00E17610" w:rsidRPr="009A2E70" w14:paraId="10292C34" w14:textId="77777777" w:rsidTr="00967D3E">
        <w:trPr>
          <w:trHeight w:val="315"/>
        </w:trPr>
        <w:tc>
          <w:tcPr>
            <w:tcW w:w="3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22181D" w14:textId="1D7FD58F" w:rsidR="00E17610" w:rsidRDefault="00E17610" w:rsidP="00E17610">
            <w:pPr>
              <w:spacing w:after="0" w:line="240" w:lineRule="auto"/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Disability support provided/increased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03F05E" w14:textId="4C30A2A5" w:rsidR="00E17610" w:rsidRDefault="00E17610" w:rsidP="00E17610">
            <w:pPr>
              <w:spacing w:after="0" w:line="240" w:lineRule="auto"/>
              <w:jc w:val="right"/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9</w:t>
            </w:r>
          </w:p>
        </w:tc>
      </w:tr>
      <w:tr w:rsidR="00E17610" w:rsidRPr="009A2E70" w14:paraId="76A05DDE" w14:textId="77777777" w:rsidTr="00967D3E">
        <w:trPr>
          <w:trHeight w:val="315"/>
        </w:trPr>
        <w:tc>
          <w:tcPr>
            <w:tcW w:w="3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0AA6EB" w14:textId="1116DD97" w:rsidR="00E17610" w:rsidRDefault="00E17610" w:rsidP="00E17610">
            <w:pPr>
              <w:spacing w:after="0" w:line="240" w:lineRule="auto"/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Review or assessment of health/medical needs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B270DB" w14:textId="353F9C82" w:rsidR="00E17610" w:rsidRDefault="00E17610" w:rsidP="00E17610">
            <w:pPr>
              <w:spacing w:after="0" w:line="240" w:lineRule="auto"/>
              <w:jc w:val="right"/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8</w:t>
            </w:r>
          </w:p>
        </w:tc>
      </w:tr>
      <w:tr w:rsidR="002B3E22" w:rsidRPr="009A2E70" w14:paraId="36195126" w14:textId="77777777" w:rsidTr="00967D3E">
        <w:trPr>
          <w:trHeight w:val="315"/>
        </w:trPr>
        <w:tc>
          <w:tcPr>
            <w:tcW w:w="3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8DD5F4" w14:textId="5534D369" w:rsidR="002B3E22" w:rsidRDefault="002B3E22" w:rsidP="00E17610">
            <w:pPr>
              <w:spacing w:after="0" w:line="240" w:lineRule="auto"/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Guardianship application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55AEA3" w14:textId="669F34BD" w:rsidR="002B3E22" w:rsidRDefault="002B3E22" w:rsidP="00E17610">
            <w:pPr>
              <w:spacing w:after="0" w:line="240" w:lineRule="auto"/>
              <w:jc w:val="right"/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7</w:t>
            </w:r>
          </w:p>
        </w:tc>
      </w:tr>
      <w:tr w:rsidR="00E17610" w:rsidRPr="009A2E70" w14:paraId="09F553B0" w14:textId="77777777" w:rsidTr="00967D3E">
        <w:trPr>
          <w:trHeight w:val="315"/>
        </w:trPr>
        <w:tc>
          <w:tcPr>
            <w:tcW w:w="3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BC3D08" w14:textId="77777777" w:rsidR="00E17610" w:rsidRDefault="00E17610" w:rsidP="00E17610">
            <w:pPr>
              <w:spacing w:after="0" w:line="240" w:lineRule="auto"/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Health or medical support provided/increased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7E2244" w14:textId="04B72F73" w:rsidR="00E17610" w:rsidRDefault="002B3E22" w:rsidP="00E17610">
            <w:pPr>
              <w:spacing w:after="0" w:line="240" w:lineRule="auto"/>
              <w:jc w:val="right"/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7</w:t>
            </w:r>
          </w:p>
        </w:tc>
      </w:tr>
    </w:tbl>
    <w:p w14:paraId="184127DF" w14:textId="16A360CB" w:rsidR="00E17610" w:rsidRDefault="00E17610" w:rsidP="00954077">
      <w:pPr>
        <w:rPr>
          <w:rFonts w:ascii="Public Sans" w:hAnsi="Public Sans"/>
        </w:rPr>
      </w:pPr>
    </w:p>
    <w:p w14:paraId="1C58ED36" w14:textId="77777777" w:rsidR="00463D6D" w:rsidRPr="0066456C" w:rsidRDefault="004D68DC" w:rsidP="00967D3E">
      <w:pPr>
        <w:pStyle w:val="Heading2"/>
        <w:spacing w:before="120"/>
        <w:rPr>
          <w:rFonts w:ascii="Public Sans" w:hAnsi="Public Sans"/>
          <w:b/>
          <w:color w:val="auto"/>
        </w:rPr>
      </w:pPr>
      <w:r w:rsidRPr="0066456C">
        <w:rPr>
          <w:rFonts w:ascii="Public Sans" w:hAnsi="Public Sans"/>
          <w:b/>
          <w:color w:val="auto"/>
        </w:rPr>
        <w:t>6.3</w:t>
      </w:r>
      <w:r w:rsidRPr="0066456C">
        <w:rPr>
          <w:rFonts w:ascii="Public Sans" w:hAnsi="Public Sans"/>
          <w:b/>
          <w:color w:val="auto"/>
        </w:rPr>
        <w:tab/>
        <w:t>Subject of a</w:t>
      </w:r>
      <w:r w:rsidR="00463D6D" w:rsidRPr="0066456C">
        <w:rPr>
          <w:rFonts w:ascii="Public Sans" w:hAnsi="Public Sans"/>
          <w:b/>
          <w:color w:val="auto"/>
        </w:rPr>
        <w:t>llegation outcomes</w:t>
      </w:r>
    </w:p>
    <w:p w14:paraId="1A90F2B5" w14:textId="52F40E5B" w:rsidR="0090069D" w:rsidRDefault="0090069D" w:rsidP="00EE7CF1">
      <w:pPr>
        <w:pStyle w:val="Body"/>
        <w:widowControl w:val="0"/>
        <w:spacing w:before="240" w:after="0" w:line="240" w:lineRule="auto"/>
        <w:rPr>
          <w:rFonts w:ascii="Public Sans" w:hAnsi="Public Sans" w:cs="Segoe UI"/>
        </w:rPr>
      </w:pPr>
      <w:r w:rsidRPr="005576E4">
        <w:rPr>
          <w:rFonts w:ascii="Public Sans" w:hAnsi="Public Sans" w:cs="Segoe UI"/>
        </w:rPr>
        <w:t xml:space="preserve">For the </w:t>
      </w:r>
      <w:r w:rsidR="00156EF4">
        <w:rPr>
          <w:rFonts w:ascii="Public Sans" w:hAnsi="Public Sans" w:cs="Segoe UI"/>
        </w:rPr>
        <w:t>1,</w:t>
      </w:r>
      <w:r w:rsidR="00956E25">
        <w:rPr>
          <w:rFonts w:ascii="Public Sans" w:hAnsi="Public Sans" w:cs="Segoe UI"/>
        </w:rPr>
        <w:t>330</w:t>
      </w:r>
      <w:r w:rsidRPr="005576E4">
        <w:rPr>
          <w:rFonts w:ascii="Public Sans" w:hAnsi="Public Sans" w:cs="Segoe UI"/>
        </w:rPr>
        <w:t xml:space="preserve"> reports closed during this quarter, key outcomes in relation to the subject of allegation included that actions were taken to </w:t>
      </w:r>
      <w:r w:rsidR="00956E25">
        <w:rPr>
          <w:rFonts w:ascii="Public Sans" w:hAnsi="Public Sans" w:cs="Segoe UI"/>
        </w:rPr>
        <w:t>prevent</w:t>
      </w:r>
      <w:r w:rsidRPr="005576E4">
        <w:rPr>
          <w:rFonts w:ascii="Public Sans" w:hAnsi="Public Sans" w:cs="Segoe UI"/>
        </w:rPr>
        <w:t xml:space="preserve"> or manage their contact with and access to the adult with disability/ older person (including through an ADVO). In appropriate cases, subjects of allegation were also provided with education or </w:t>
      </w:r>
      <w:r w:rsidR="00956E25" w:rsidRPr="005576E4">
        <w:rPr>
          <w:rFonts w:ascii="Public Sans" w:hAnsi="Public Sans" w:cs="Segoe UI"/>
        </w:rPr>
        <w:t>advice and</w:t>
      </w:r>
      <w:r w:rsidRPr="005576E4">
        <w:rPr>
          <w:rFonts w:ascii="Public Sans" w:hAnsi="Public Sans" w:cs="Segoe UI"/>
        </w:rPr>
        <w:t xml:space="preserve"> linked to additional supports.</w:t>
      </w:r>
    </w:p>
    <w:p w14:paraId="45BBC52C" w14:textId="77777777" w:rsidR="0090069D" w:rsidRPr="005576E4" w:rsidRDefault="0090069D" w:rsidP="0090069D">
      <w:pPr>
        <w:pStyle w:val="Body"/>
        <w:widowControl w:val="0"/>
        <w:spacing w:after="0" w:line="240" w:lineRule="auto"/>
        <w:rPr>
          <w:rFonts w:ascii="Public Sans" w:hAnsi="Public Sans" w:cs="Segoe UI"/>
        </w:rPr>
      </w:pPr>
    </w:p>
    <w:p w14:paraId="4F880465" w14:textId="36B20CCC" w:rsidR="0090069D" w:rsidRPr="006C3E4E" w:rsidRDefault="0090069D" w:rsidP="0090069D">
      <w:pPr>
        <w:spacing w:after="0" w:line="240" w:lineRule="auto"/>
        <w:rPr>
          <w:rFonts w:ascii="Public Sans" w:hAnsi="Public Sans"/>
          <w:b/>
          <w:sz w:val="18"/>
        </w:rPr>
      </w:pPr>
      <w:r w:rsidRPr="006C3E4E">
        <w:rPr>
          <w:rFonts w:ascii="Public Sans" w:hAnsi="Public Sans"/>
          <w:b/>
          <w:sz w:val="18"/>
        </w:rPr>
        <w:t xml:space="preserve">Table </w:t>
      </w:r>
      <w:r w:rsidR="00234D13" w:rsidRPr="006C3E4E">
        <w:rPr>
          <w:rFonts w:ascii="Public Sans" w:hAnsi="Public Sans"/>
          <w:b/>
          <w:sz w:val="18"/>
        </w:rPr>
        <w:t>1</w:t>
      </w:r>
      <w:r w:rsidR="00BD1590">
        <w:rPr>
          <w:rFonts w:ascii="Public Sans" w:hAnsi="Public Sans"/>
          <w:b/>
          <w:sz w:val="18"/>
        </w:rPr>
        <w:t>0</w:t>
      </w:r>
      <w:r w:rsidRPr="006C3E4E">
        <w:rPr>
          <w:rFonts w:ascii="Public Sans" w:hAnsi="Public Sans"/>
          <w:b/>
          <w:sz w:val="18"/>
        </w:rPr>
        <w:t xml:space="preserve">: Leading outcomes in relation to the subject of allegation in a report to the ADC, reports closed </w:t>
      </w:r>
      <w:r w:rsidR="00976C8D">
        <w:rPr>
          <w:rFonts w:ascii="Public Sans" w:hAnsi="Public Sans"/>
          <w:b/>
          <w:sz w:val="18"/>
        </w:rPr>
        <w:t>J</w:t>
      </w:r>
      <w:r w:rsidR="00956E25">
        <w:rPr>
          <w:rFonts w:ascii="Public Sans" w:hAnsi="Public Sans"/>
          <w:b/>
          <w:sz w:val="18"/>
        </w:rPr>
        <w:t>uly</w:t>
      </w:r>
      <w:r w:rsidR="00081556">
        <w:rPr>
          <w:rFonts w:ascii="Public Sans" w:hAnsi="Public Sans"/>
          <w:b/>
          <w:sz w:val="18"/>
        </w:rPr>
        <w:t>-</w:t>
      </w:r>
      <w:r w:rsidR="00956E25">
        <w:rPr>
          <w:rFonts w:ascii="Public Sans" w:hAnsi="Public Sans"/>
          <w:b/>
          <w:sz w:val="18"/>
        </w:rPr>
        <w:t>Sept</w:t>
      </w:r>
      <w:r w:rsidRPr="006C3E4E">
        <w:rPr>
          <w:rFonts w:ascii="Public Sans" w:hAnsi="Public Sans"/>
          <w:b/>
          <w:sz w:val="18"/>
        </w:rPr>
        <w:t xml:space="preserve"> 202</w:t>
      </w:r>
      <w:r w:rsidR="00976C8D">
        <w:rPr>
          <w:rFonts w:ascii="Public Sans" w:hAnsi="Public Sans"/>
          <w:b/>
          <w:sz w:val="18"/>
        </w:rPr>
        <w:t>3</w:t>
      </w:r>
    </w:p>
    <w:tbl>
      <w:tblPr>
        <w:tblW w:w="47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0"/>
        <w:gridCol w:w="2068"/>
      </w:tblGrid>
      <w:tr w:rsidR="0090069D" w:rsidRPr="009A2E70" w14:paraId="2335B5FB" w14:textId="77777777" w:rsidTr="00DB0419">
        <w:trPr>
          <w:trHeight w:val="349"/>
        </w:trPr>
        <w:tc>
          <w:tcPr>
            <w:tcW w:w="3860" w:type="pct"/>
            <w:shd w:val="clear" w:color="auto" w:fill="A5CCDF"/>
            <w:vAlign w:val="bottom"/>
            <w:hideMark/>
          </w:tcPr>
          <w:p w14:paraId="301D879C" w14:textId="77777777" w:rsidR="0090069D" w:rsidRPr="009A2E70" w:rsidRDefault="0090069D" w:rsidP="008202F1">
            <w:pPr>
              <w:spacing w:after="0" w:line="240" w:lineRule="auto"/>
              <w:rPr>
                <w:rFonts w:ascii="Public Sans" w:eastAsia="Times New Roman" w:hAnsi="Public Sans" w:cs="Times New Roman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9A2E70">
              <w:rPr>
                <w:rFonts w:ascii="Public Sans" w:eastAsia="Times New Roman" w:hAnsi="Public Sans" w:cs="Times New Roman"/>
                <w:b/>
                <w:bCs/>
                <w:color w:val="000000"/>
                <w:sz w:val="21"/>
                <w:szCs w:val="21"/>
                <w:lang w:eastAsia="en-AU"/>
              </w:rPr>
              <w:t>Subject of allegation outcomes</w:t>
            </w:r>
          </w:p>
        </w:tc>
        <w:tc>
          <w:tcPr>
            <w:tcW w:w="1140" w:type="pct"/>
            <w:shd w:val="clear" w:color="auto" w:fill="A5CCDF"/>
            <w:vAlign w:val="bottom"/>
            <w:hideMark/>
          </w:tcPr>
          <w:p w14:paraId="77E83B3E" w14:textId="77777777" w:rsidR="0090069D" w:rsidRPr="009A2E70" w:rsidRDefault="0090069D" w:rsidP="008202F1">
            <w:pPr>
              <w:spacing w:after="0" w:line="240" w:lineRule="auto"/>
              <w:rPr>
                <w:rFonts w:ascii="Public Sans" w:eastAsia="Times New Roman" w:hAnsi="Public Sans" w:cs="Times New Roman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9A2E70">
              <w:rPr>
                <w:rFonts w:ascii="Public Sans" w:eastAsia="Times New Roman" w:hAnsi="Public Sans" w:cs="Times New Roman"/>
                <w:b/>
                <w:bCs/>
                <w:color w:val="000000"/>
                <w:sz w:val="21"/>
                <w:szCs w:val="21"/>
                <w:lang w:eastAsia="en-AU"/>
              </w:rPr>
              <w:t>Number of cases</w:t>
            </w:r>
            <w:r w:rsidRPr="009A2E70">
              <w:rPr>
                <w:rStyle w:val="FootnoteReference"/>
                <w:rFonts w:ascii="Public Sans" w:eastAsia="Times New Roman" w:hAnsi="Public Sans" w:cs="Times New Roman"/>
                <w:b/>
                <w:bCs/>
                <w:color w:val="000000"/>
                <w:sz w:val="21"/>
                <w:szCs w:val="21"/>
                <w:lang w:eastAsia="en-AU"/>
              </w:rPr>
              <w:footnoteReference w:id="9"/>
            </w:r>
          </w:p>
        </w:tc>
      </w:tr>
      <w:tr w:rsidR="0090069D" w:rsidRPr="009A2E70" w14:paraId="14FFEBFD" w14:textId="77777777" w:rsidTr="00DB0419">
        <w:trPr>
          <w:trHeight w:val="315"/>
        </w:trPr>
        <w:tc>
          <w:tcPr>
            <w:tcW w:w="3860" w:type="pct"/>
            <w:shd w:val="clear" w:color="auto" w:fill="auto"/>
            <w:noWrap/>
            <w:vAlign w:val="center"/>
            <w:hideMark/>
          </w:tcPr>
          <w:p w14:paraId="5E932CC8" w14:textId="77777777" w:rsidR="0090069D" w:rsidRPr="009A2E70" w:rsidRDefault="0090069D" w:rsidP="008202F1">
            <w:pPr>
              <w:spacing w:after="0" w:line="240" w:lineRule="auto"/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 w:rsidRPr="009A2E70"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Education or advice provided</w:t>
            </w:r>
          </w:p>
        </w:tc>
        <w:tc>
          <w:tcPr>
            <w:tcW w:w="1140" w:type="pct"/>
            <w:shd w:val="clear" w:color="auto" w:fill="auto"/>
            <w:noWrap/>
            <w:vAlign w:val="center"/>
          </w:tcPr>
          <w:p w14:paraId="4F29E340" w14:textId="2A10E94D" w:rsidR="0090069D" w:rsidRPr="009A2E70" w:rsidRDefault="00956E25" w:rsidP="00BE29D3">
            <w:pPr>
              <w:spacing w:after="0" w:line="240" w:lineRule="auto"/>
              <w:jc w:val="right"/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264</w:t>
            </w:r>
          </w:p>
        </w:tc>
      </w:tr>
      <w:tr w:rsidR="0090069D" w:rsidRPr="009A2E70" w14:paraId="36F40698" w14:textId="77777777" w:rsidTr="00DB0419">
        <w:trPr>
          <w:trHeight w:val="315"/>
        </w:trPr>
        <w:tc>
          <w:tcPr>
            <w:tcW w:w="3860" w:type="pct"/>
            <w:shd w:val="clear" w:color="auto" w:fill="auto"/>
            <w:noWrap/>
            <w:vAlign w:val="center"/>
            <w:hideMark/>
          </w:tcPr>
          <w:p w14:paraId="390D054E" w14:textId="77777777" w:rsidR="0090069D" w:rsidRPr="009A2E70" w:rsidRDefault="0090069D" w:rsidP="008202F1">
            <w:pPr>
              <w:spacing w:after="0" w:line="240" w:lineRule="auto"/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 w:rsidRPr="009A2E70"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Linked to/received more support</w:t>
            </w:r>
          </w:p>
        </w:tc>
        <w:tc>
          <w:tcPr>
            <w:tcW w:w="1140" w:type="pct"/>
            <w:shd w:val="clear" w:color="auto" w:fill="auto"/>
            <w:noWrap/>
            <w:vAlign w:val="center"/>
          </w:tcPr>
          <w:p w14:paraId="4391443F" w14:textId="6B92EA68" w:rsidR="0090069D" w:rsidRPr="009A2E70" w:rsidRDefault="00956E25" w:rsidP="008202F1">
            <w:pPr>
              <w:spacing w:after="0" w:line="240" w:lineRule="auto"/>
              <w:jc w:val="right"/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26</w:t>
            </w:r>
          </w:p>
        </w:tc>
      </w:tr>
      <w:tr w:rsidR="00956E25" w:rsidRPr="009A2E70" w14:paraId="7624E86C" w14:textId="77777777" w:rsidTr="00DB0419">
        <w:trPr>
          <w:trHeight w:val="315"/>
        </w:trPr>
        <w:tc>
          <w:tcPr>
            <w:tcW w:w="3860" w:type="pct"/>
            <w:shd w:val="clear" w:color="auto" w:fill="auto"/>
            <w:noWrap/>
            <w:vAlign w:val="center"/>
          </w:tcPr>
          <w:p w14:paraId="5508329C" w14:textId="5AB7A754" w:rsidR="00956E25" w:rsidRDefault="00956E25" w:rsidP="007A270E">
            <w:pPr>
              <w:spacing w:after="0" w:line="240" w:lineRule="auto"/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lastRenderedPageBreak/>
              <w:t>PSOA prevented from access</w:t>
            </w:r>
          </w:p>
        </w:tc>
        <w:tc>
          <w:tcPr>
            <w:tcW w:w="1140" w:type="pct"/>
            <w:shd w:val="clear" w:color="auto" w:fill="auto"/>
            <w:noWrap/>
            <w:vAlign w:val="center"/>
          </w:tcPr>
          <w:p w14:paraId="368A63D6" w14:textId="529B2E76" w:rsidR="00956E25" w:rsidRDefault="00956E25" w:rsidP="00BE29D3">
            <w:pPr>
              <w:spacing w:after="0" w:line="240" w:lineRule="auto"/>
              <w:jc w:val="right"/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5</w:t>
            </w:r>
          </w:p>
        </w:tc>
      </w:tr>
      <w:tr w:rsidR="00BE29D3" w:rsidRPr="009A2E70" w14:paraId="0D8D6A87" w14:textId="77777777" w:rsidTr="00DB0419">
        <w:trPr>
          <w:trHeight w:val="315"/>
        </w:trPr>
        <w:tc>
          <w:tcPr>
            <w:tcW w:w="3860" w:type="pct"/>
            <w:shd w:val="clear" w:color="auto" w:fill="auto"/>
            <w:noWrap/>
            <w:vAlign w:val="center"/>
          </w:tcPr>
          <w:p w14:paraId="4AADC9AA" w14:textId="77777777" w:rsidR="00BE29D3" w:rsidRPr="009A2E70" w:rsidRDefault="0007053C" w:rsidP="007A270E">
            <w:pPr>
              <w:spacing w:after="0" w:line="240" w:lineRule="auto"/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 xml:space="preserve">ADVO put in place  </w:t>
            </w:r>
          </w:p>
        </w:tc>
        <w:tc>
          <w:tcPr>
            <w:tcW w:w="1140" w:type="pct"/>
            <w:shd w:val="clear" w:color="auto" w:fill="auto"/>
            <w:noWrap/>
            <w:vAlign w:val="center"/>
          </w:tcPr>
          <w:p w14:paraId="081E4D70" w14:textId="265242C1" w:rsidR="00BE29D3" w:rsidRDefault="00956E25" w:rsidP="00BE29D3">
            <w:pPr>
              <w:spacing w:after="0" w:line="240" w:lineRule="auto"/>
              <w:jc w:val="right"/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4</w:t>
            </w:r>
          </w:p>
        </w:tc>
      </w:tr>
      <w:tr w:rsidR="0090069D" w:rsidRPr="009A2E70" w14:paraId="52C2D8A0" w14:textId="77777777" w:rsidTr="00DB0419">
        <w:trPr>
          <w:trHeight w:val="315"/>
        </w:trPr>
        <w:tc>
          <w:tcPr>
            <w:tcW w:w="3860" w:type="pct"/>
            <w:shd w:val="clear" w:color="auto" w:fill="auto"/>
            <w:noWrap/>
            <w:vAlign w:val="center"/>
          </w:tcPr>
          <w:p w14:paraId="053C704C" w14:textId="77777777" w:rsidR="0090069D" w:rsidRPr="009A2E70" w:rsidRDefault="007A270E" w:rsidP="007A270E">
            <w:pPr>
              <w:spacing w:after="0" w:line="240" w:lineRule="auto"/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Removal as POA or EPOA</w:t>
            </w:r>
            <w:r w:rsidRPr="009A2E70"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 xml:space="preserve"> </w:t>
            </w:r>
            <w:r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 xml:space="preserve"> </w:t>
            </w:r>
          </w:p>
        </w:tc>
        <w:tc>
          <w:tcPr>
            <w:tcW w:w="1140" w:type="pct"/>
            <w:shd w:val="clear" w:color="auto" w:fill="auto"/>
            <w:noWrap/>
            <w:vAlign w:val="center"/>
          </w:tcPr>
          <w:p w14:paraId="7AACD05F" w14:textId="3CD7B071" w:rsidR="0090069D" w:rsidRPr="009A2E70" w:rsidRDefault="00956E25" w:rsidP="008202F1">
            <w:pPr>
              <w:spacing w:after="0" w:line="240" w:lineRule="auto"/>
              <w:jc w:val="right"/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3</w:t>
            </w:r>
          </w:p>
        </w:tc>
      </w:tr>
      <w:tr w:rsidR="00956E25" w:rsidRPr="009A2E70" w14:paraId="0337C044" w14:textId="77777777" w:rsidTr="00DB0419">
        <w:trPr>
          <w:trHeight w:val="315"/>
        </w:trPr>
        <w:tc>
          <w:tcPr>
            <w:tcW w:w="3860" w:type="pct"/>
            <w:shd w:val="clear" w:color="auto" w:fill="auto"/>
            <w:vAlign w:val="center"/>
          </w:tcPr>
          <w:p w14:paraId="0FC1C165" w14:textId="19A8342E" w:rsidR="00956E25" w:rsidRDefault="00956E25" w:rsidP="008202F1">
            <w:pPr>
              <w:spacing w:after="0" w:line="240" w:lineRule="auto"/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Benefit removed</w:t>
            </w:r>
          </w:p>
        </w:tc>
        <w:tc>
          <w:tcPr>
            <w:tcW w:w="1140" w:type="pct"/>
            <w:shd w:val="clear" w:color="auto" w:fill="auto"/>
            <w:noWrap/>
            <w:vAlign w:val="center"/>
          </w:tcPr>
          <w:p w14:paraId="17250B86" w14:textId="64E676F1" w:rsidR="00956E25" w:rsidRDefault="00956E25" w:rsidP="008202F1">
            <w:pPr>
              <w:spacing w:after="0" w:line="240" w:lineRule="auto"/>
              <w:jc w:val="right"/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2</w:t>
            </w:r>
          </w:p>
        </w:tc>
      </w:tr>
      <w:tr w:rsidR="00956E25" w:rsidRPr="009A2E70" w14:paraId="44E04BE2" w14:textId="77777777" w:rsidTr="00DB0419">
        <w:trPr>
          <w:trHeight w:val="315"/>
        </w:trPr>
        <w:tc>
          <w:tcPr>
            <w:tcW w:w="3860" w:type="pct"/>
            <w:shd w:val="clear" w:color="auto" w:fill="auto"/>
            <w:vAlign w:val="center"/>
          </w:tcPr>
          <w:p w14:paraId="14653A6C" w14:textId="7776CBBE" w:rsidR="00956E25" w:rsidRDefault="00956E25" w:rsidP="008202F1">
            <w:pPr>
              <w:spacing w:after="0" w:line="240" w:lineRule="auto"/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Removed as NDIS nominee</w:t>
            </w:r>
          </w:p>
        </w:tc>
        <w:tc>
          <w:tcPr>
            <w:tcW w:w="1140" w:type="pct"/>
            <w:shd w:val="clear" w:color="auto" w:fill="auto"/>
            <w:noWrap/>
            <w:vAlign w:val="center"/>
          </w:tcPr>
          <w:p w14:paraId="0A7EFDEE" w14:textId="78B88FD1" w:rsidR="00956E25" w:rsidRDefault="00956E25" w:rsidP="008202F1">
            <w:pPr>
              <w:spacing w:after="0" w:line="240" w:lineRule="auto"/>
              <w:jc w:val="right"/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2</w:t>
            </w:r>
          </w:p>
        </w:tc>
      </w:tr>
      <w:tr w:rsidR="00967D3E" w:rsidRPr="009A2E70" w14:paraId="5BB1D732" w14:textId="77777777" w:rsidTr="00DB0419">
        <w:trPr>
          <w:trHeight w:val="315"/>
        </w:trPr>
        <w:tc>
          <w:tcPr>
            <w:tcW w:w="3860" w:type="pct"/>
            <w:shd w:val="clear" w:color="auto" w:fill="auto"/>
            <w:vAlign w:val="center"/>
          </w:tcPr>
          <w:p w14:paraId="17FD65BE" w14:textId="77777777" w:rsidR="00967D3E" w:rsidRDefault="007A270E" w:rsidP="008202F1">
            <w:pPr>
              <w:spacing w:after="0" w:line="240" w:lineRule="auto"/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Reduced/supervised access to Person</w:t>
            </w:r>
          </w:p>
        </w:tc>
        <w:tc>
          <w:tcPr>
            <w:tcW w:w="1140" w:type="pct"/>
            <w:shd w:val="clear" w:color="auto" w:fill="auto"/>
            <w:noWrap/>
            <w:vAlign w:val="center"/>
          </w:tcPr>
          <w:p w14:paraId="6F34E7E9" w14:textId="5B724F2B" w:rsidR="00967D3E" w:rsidRDefault="00956E25" w:rsidP="008202F1">
            <w:pPr>
              <w:spacing w:after="0" w:line="240" w:lineRule="auto"/>
              <w:jc w:val="right"/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2</w:t>
            </w:r>
          </w:p>
        </w:tc>
      </w:tr>
    </w:tbl>
    <w:p w14:paraId="178AC511" w14:textId="77777777" w:rsidR="0090069D" w:rsidRPr="005576E4" w:rsidRDefault="0090069D" w:rsidP="0090069D">
      <w:pPr>
        <w:pStyle w:val="Body"/>
        <w:widowControl w:val="0"/>
        <w:spacing w:after="0" w:line="240" w:lineRule="auto"/>
        <w:rPr>
          <w:rFonts w:ascii="Public Sans" w:hAnsi="Public Sans" w:cs="Segoe UI"/>
        </w:rPr>
      </w:pPr>
    </w:p>
    <w:p w14:paraId="41B6E302" w14:textId="77777777" w:rsidR="00954077" w:rsidRPr="005576E4" w:rsidRDefault="00954077" w:rsidP="0090069D">
      <w:pPr>
        <w:pStyle w:val="Body"/>
        <w:widowControl w:val="0"/>
        <w:spacing w:before="120" w:after="0" w:line="240" w:lineRule="auto"/>
        <w:rPr>
          <w:rFonts w:ascii="Public Sans" w:hAnsi="Public Sans" w:cs="Segoe UI"/>
        </w:rPr>
      </w:pPr>
    </w:p>
    <w:sectPr w:rsidR="00954077" w:rsidRPr="005576E4" w:rsidSect="00613AF2">
      <w:footerReference w:type="default" r:id="rId21"/>
      <w:headerReference w:type="first" r:id="rId22"/>
      <w:pgSz w:w="11906" w:h="16838"/>
      <w:pgMar w:top="1021" w:right="1134" w:bottom="794" w:left="1134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9C4AE" w14:textId="77777777" w:rsidR="00B52BD2" w:rsidRDefault="00B52BD2" w:rsidP="00E403D8">
      <w:r>
        <w:separator/>
      </w:r>
    </w:p>
  </w:endnote>
  <w:endnote w:type="continuationSeparator" w:id="0">
    <w:p w14:paraId="0A7DAEC6" w14:textId="77777777" w:rsidR="00B52BD2" w:rsidRDefault="00B52BD2" w:rsidP="00E40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2428813"/>
      <w:docPartObj>
        <w:docPartGallery w:val="Page Numbers (Bottom of Page)"/>
        <w:docPartUnique/>
      </w:docPartObj>
    </w:sdtPr>
    <w:sdtEndPr>
      <w:rPr>
        <w:rFonts w:ascii="Public Sans" w:hAnsi="Public Sans"/>
        <w:noProof/>
        <w:sz w:val="20"/>
      </w:rPr>
    </w:sdtEndPr>
    <w:sdtContent>
      <w:p w14:paraId="1EBB260E" w14:textId="77777777" w:rsidR="00B52BD2" w:rsidRPr="00886D64" w:rsidRDefault="00B52BD2">
        <w:pPr>
          <w:pStyle w:val="Footer"/>
          <w:jc w:val="right"/>
          <w:rPr>
            <w:rFonts w:ascii="Public Sans" w:hAnsi="Public Sans"/>
            <w:sz w:val="20"/>
          </w:rPr>
        </w:pPr>
        <w:r w:rsidRPr="00886D64">
          <w:rPr>
            <w:rFonts w:ascii="Public Sans" w:hAnsi="Public Sans"/>
            <w:sz w:val="20"/>
          </w:rPr>
          <w:fldChar w:fldCharType="begin"/>
        </w:r>
        <w:r w:rsidRPr="00886D64">
          <w:rPr>
            <w:rFonts w:ascii="Public Sans" w:hAnsi="Public Sans"/>
            <w:sz w:val="20"/>
          </w:rPr>
          <w:instrText xml:space="preserve"> PAGE   \* MERGEFORMAT </w:instrText>
        </w:r>
        <w:r w:rsidRPr="00886D64">
          <w:rPr>
            <w:rFonts w:ascii="Public Sans" w:hAnsi="Public Sans"/>
            <w:sz w:val="20"/>
          </w:rPr>
          <w:fldChar w:fldCharType="separate"/>
        </w:r>
        <w:r w:rsidR="00095EC5">
          <w:rPr>
            <w:rFonts w:ascii="Public Sans" w:hAnsi="Public Sans"/>
            <w:noProof/>
            <w:sz w:val="20"/>
          </w:rPr>
          <w:t>11</w:t>
        </w:r>
        <w:r w:rsidRPr="00886D64">
          <w:rPr>
            <w:rFonts w:ascii="Public Sans" w:hAnsi="Public Sans"/>
            <w:noProof/>
            <w:sz w:val="20"/>
          </w:rPr>
          <w:fldChar w:fldCharType="end"/>
        </w:r>
      </w:p>
    </w:sdtContent>
  </w:sdt>
  <w:p w14:paraId="0CAFAA73" w14:textId="77777777" w:rsidR="00B52BD2" w:rsidRDefault="00B52B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842A9" w14:textId="77777777" w:rsidR="00B52BD2" w:rsidRDefault="00B52BD2" w:rsidP="00E403D8">
      <w:r>
        <w:separator/>
      </w:r>
    </w:p>
  </w:footnote>
  <w:footnote w:type="continuationSeparator" w:id="0">
    <w:p w14:paraId="0288DCAD" w14:textId="77777777" w:rsidR="00B52BD2" w:rsidRDefault="00B52BD2" w:rsidP="00E403D8">
      <w:r>
        <w:continuationSeparator/>
      </w:r>
    </w:p>
  </w:footnote>
  <w:footnote w:id="1">
    <w:p w14:paraId="16057EEB" w14:textId="19022C09" w:rsidR="003D4C54" w:rsidRPr="003D4C54" w:rsidRDefault="003D4C54" w:rsidP="003D4C54">
      <w:pPr>
        <w:pStyle w:val="FootnoteText"/>
        <w:spacing w:after="0" w:line="240" w:lineRule="auto"/>
        <w:rPr>
          <w:rFonts w:ascii="Public Sans" w:hAnsi="Public Sans"/>
          <w:sz w:val="18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Public Sans" w:hAnsi="Public Sans"/>
          <w:sz w:val="18"/>
        </w:rPr>
        <w:t xml:space="preserve">As the data on reports includes active and open cases, some of the data is subject to change. </w:t>
      </w:r>
      <w:r w:rsidR="001D13E9">
        <w:rPr>
          <w:rFonts w:ascii="Public Sans" w:hAnsi="Public Sans"/>
          <w:sz w:val="18"/>
        </w:rPr>
        <w:t xml:space="preserve">Data current as </w:t>
      </w:r>
      <w:r w:rsidR="00606561">
        <w:rPr>
          <w:rFonts w:ascii="Public Sans" w:hAnsi="Public Sans"/>
          <w:sz w:val="18"/>
        </w:rPr>
        <w:t>of</w:t>
      </w:r>
      <w:r w:rsidR="001D13E9">
        <w:rPr>
          <w:rFonts w:ascii="Public Sans" w:hAnsi="Public Sans"/>
          <w:sz w:val="18"/>
        </w:rPr>
        <w:t xml:space="preserve"> </w:t>
      </w:r>
      <w:r w:rsidR="00606561">
        <w:rPr>
          <w:rFonts w:ascii="Public Sans" w:hAnsi="Public Sans"/>
          <w:sz w:val="18"/>
        </w:rPr>
        <w:t>31</w:t>
      </w:r>
      <w:r w:rsidR="001D13E9">
        <w:rPr>
          <w:rFonts w:ascii="Public Sans" w:hAnsi="Public Sans"/>
          <w:sz w:val="18"/>
        </w:rPr>
        <w:t xml:space="preserve"> </w:t>
      </w:r>
      <w:r w:rsidR="00606561">
        <w:rPr>
          <w:rFonts w:ascii="Public Sans" w:hAnsi="Public Sans"/>
          <w:sz w:val="18"/>
        </w:rPr>
        <w:t>October</w:t>
      </w:r>
      <w:r w:rsidR="001D13E9">
        <w:rPr>
          <w:rFonts w:ascii="Public Sans" w:hAnsi="Public Sans"/>
          <w:sz w:val="18"/>
        </w:rPr>
        <w:t xml:space="preserve"> 2023.</w:t>
      </w:r>
    </w:p>
  </w:footnote>
  <w:footnote w:id="2">
    <w:p w14:paraId="6BE2C620" w14:textId="77777777" w:rsidR="00B52BD2" w:rsidRPr="009612C3" w:rsidRDefault="00B52BD2" w:rsidP="00E50CEF">
      <w:pPr>
        <w:pStyle w:val="FootnoteText"/>
        <w:spacing w:after="0" w:line="240" w:lineRule="auto"/>
        <w:rPr>
          <w:rFonts w:ascii="Public Sans" w:hAnsi="Public Sans"/>
          <w:sz w:val="18"/>
        </w:rPr>
      </w:pPr>
      <w:r w:rsidRPr="009612C3">
        <w:rPr>
          <w:rStyle w:val="FootnoteReference"/>
          <w:rFonts w:ascii="Public Sans" w:hAnsi="Public Sans"/>
          <w:sz w:val="18"/>
        </w:rPr>
        <w:footnoteRef/>
      </w:r>
      <w:r w:rsidRPr="009612C3">
        <w:rPr>
          <w:rFonts w:ascii="Public Sans" w:hAnsi="Public Sans"/>
          <w:sz w:val="18"/>
        </w:rPr>
        <w:t xml:space="preserve"> Adults aged 65 years and older, and Aboriginal and/or Torres Strait Islander adults aged 50 years and older</w:t>
      </w:r>
      <w:r>
        <w:rPr>
          <w:rFonts w:ascii="Public Sans" w:hAnsi="Public Sans"/>
          <w:sz w:val="18"/>
        </w:rPr>
        <w:t>.</w:t>
      </w:r>
    </w:p>
  </w:footnote>
  <w:footnote w:id="3">
    <w:p w14:paraId="75D7A1C6" w14:textId="77777777" w:rsidR="00B52BD2" w:rsidRPr="009612C3" w:rsidRDefault="00B52BD2" w:rsidP="00E50CEF">
      <w:pPr>
        <w:pStyle w:val="FootnoteText"/>
        <w:spacing w:after="0" w:line="240" w:lineRule="auto"/>
      </w:pPr>
      <w:r w:rsidRPr="009612C3">
        <w:rPr>
          <w:rStyle w:val="FootnoteReference"/>
          <w:rFonts w:ascii="Public Sans" w:hAnsi="Public Sans"/>
          <w:sz w:val="18"/>
        </w:rPr>
        <w:footnoteRef/>
      </w:r>
      <w:r w:rsidRPr="009612C3">
        <w:rPr>
          <w:rFonts w:ascii="Public Sans" w:hAnsi="Public Sans"/>
          <w:sz w:val="18"/>
        </w:rPr>
        <w:t xml:space="preserve"> Adults aged 18 years and older with a disability as defined in the </w:t>
      </w:r>
      <w:r w:rsidRPr="009612C3">
        <w:rPr>
          <w:rFonts w:ascii="Public Sans" w:hAnsi="Public Sans"/>
          <w:i/>
          <w:sz w:val="18"/>
        </w:rPr>
        <w:t>Disability Inclusion Act 2014</w:t>
      </w:r>
      <w:r>
        <w:rPr>
          <w:rFonts w:ascii="Public Sans" w:hAnsi="Public Sans"/>
          <w:sz w:val="18"/>
        </w:rPr>
        <w:t>.</w:t>
      </w:r>
    </w:p>
  </w:footnote>
  <w:footnote w:id="4">
    <w:p w14:paraId="6C661559" w14:textId="77777777" w:rsidR="00B52BD2" w:rsidRPr="008264C8" w:rsidRDefault="00B52BD2" w:rsidP="008264C8">
      <w:pPr>
        <w:pStyle w:val="FootnoteText"/>
        <w:spacing w:after="0" w:line="240" w:lineRule="auto"/>
        <w:rPr>
          <w:rFonts w:ascii="Public Sans" w:hAnsi="Public Sans"/>
        </w:rPr>
      </w:pPr>
      <w:r w:rsidRPr="008264C8">
        <w:rPr>
          <w:rStyle w:val="FootnoteReference"/>
          <w:rFonts w:ascii="Public Sans" w:hAnsi="Public Sans"/>
          <w:sz w:val="18"/>
        </w:rPr>
        <w:footnoteRef/>
      </w:r>
      <w:r w:rsidRPr="008264C8">
        <w:rPr>
          <w:rFonts w:ascii="Public Sans" w:hAnsi="Public Sans"/>
          <w:sz w:val="18"/>
        </w:rPr>
        <w:t xml:space="preserve"> For the purposes of our analysis, </w:t>
      </w:r>
      <w:r>
        <w:rPr>
          <w:rFonts w:ascii="Public Sans" w:hAnsi="Public Sans"/>
          <w:sz w:val="18"/>
        </w:rPr>
        <w:t>‘</w:t>
      </w:r>
      <w:r w:rsidRPr="008264C8">
        <w:rPr>
          <w:rFonts w:ascii="Public Sans" w:hAnsi="Public Sans"/>
          <w:sz w:val="18"/>
        </w:rPr>
        <w:t>relatives</w:t>
      </w:r>
      <w:r>
        <w:rPr>
          <w:rFonts w:ascii="Public Sans" w:hAnsi="Public Sans"/>
          <w:sz w:val="18"/>
        </w:rPr>
        <w:t>’</w:t>
      </w:r>
      <w:r w:rsidRPr="008264C8">
        <w:rPr>
          <w:rFonts w:ascii="Public Sans" w:hAnsi="Public Sans"/>
          <w:sz w:val="18"/>
        </w:rPr>
        <w:t xml:space="preserve"> does not include </w:t>
      </w:r>
      <w:r>
        <w:rPr>
          <w:rFonts w:ascii="Public Sans" w:hAnsi="Public Sans"/>
          <w:sz w:val="18"/>
        </w:rPr>
        <w:t xml:space="preserve">the adult’s </w:t>
      </w:r>
      <w:r w:rsidRPr="008264C8">
        <w:rPr>
          <w:rFonts w:ascii="Public Sans" w:hAnsi="Public Sans"/>
          <w:sz w:val="18"/>
        </w:rPr>
        <w:t>spouse/partner or ex-spouse/partner</w:t>
      </w:r>
      <w:r>
        <w:rPr>
          <w:rFonts w:ascii="Public Sans" w:hAnsi="Public Sans"/>
          <w:sz w:val="18"/>
        </w:rPr>
        <w:t>.</w:t>
      </w:r>
    </w:p>
  </w:footnote>
  <w:footnote w:id="5">
    <w:p w14:paraId="234DF13E" w14:textId="77777777" w:rsidR="00B52BD2" w:rsidRDefault="00B52BD2" w:rsidP="008264C8">
      <w:pPr>
        <w:pStyle w:val="FootnoteText"/>
        <w:spacing w:after="0" w:line="240" w:lineRule="auto"/>
      </w:pPr>
      <w:r>
        <w:rPr>
          <w:rStyle w:val="FootnoteReference"/>
        </w:rPr>
        <w:footnoteRef/>
      </w:r>
      <w:r>
        <w:t xml:space="preserve"> </w:t>
      </w:r>
      <w:r w:rsidRPr="008264C8">
        <w:rPr>
          <w:rFonts w:ascii="Public Sans" w:hAnsi="Public Sans"/>
          <w:sz w:val="18"/>
        </w:rPr>
        <w:t xml:space="preserve">For the purposes of our analysis, </w:t>
      </w:r>
      <w:r>
        <w:rPr>
          <w:rFonts w:ascii="Public Sans" w:hAnsi="Public Sans"/>
          <w:sz w:val="18"/>
        </w:rPr>
        <w:t>‘</w:t>
      </w:r>
      <w:r w:rsidRPr="008264C8">
        <w:rPr>
          <w:rFonts w:ascii="Public Sans" w:hAnsi="Public Sans"/>
          <w:sz w:val="18"/>
        </w:rPr>
        <w:t>relatives</w:t>
      </w:r>
      <w:r>
        <w:rPr>
          <w:rFonts w:ascii="Public Sans" w:hAnsi="Public Sans"/>
          <w:sz w:val="18"/>
        </w:rPr>
        <w:t>’</w:t>
      </w:r>
      <w:r w:rsidRPr="008264C8">
        <w:rPr>
          <w:rFonts w:ascii="Public Sans" w:hAnsi="Public Sans"/>
          <w:sz w:val="18"/>
        </w:rPr>
        <w:t xml:space="preserve"> does not include </w:t>
      </w:r>
      <w:r>
        <w:rPr>
          <w:rFonts w:ascii="Public Sans" w:hAnsi="Public Sans"/>
          <w:sz w:val="18"/>
        </w:rPr>
        <w:t xml:space="preserve">the adult’s </w:t>
      </w:r>
      <w:r w:rsidRPr="008264C8">
        <w:rPr>
          <w:rFonts w:ascii="Public Sans" w:hAnsi="Public Sans"/>
          <w:sz w:val="18"/>
        </w:rPr>
        <w:t>spouse/partner or ex-spouse/partner</w:t>
      </w:r>
      <w:r>
        <w:rPr>
          <w:rFonts w:ascii="Public Sans" w:hAnsi="Public Sans"/>
          <w:sz w:val="18"/>
        </w:rPr>
        <w:t>.</w:t>
      </w:r>
    </w:p>
  </w:footnote>
  <w:footnote w:id="6">
    <w:p w14:paraId="002C9F62" w14:textId="77777777" w:rsidR="00B52BD2" w:rsidRPr="00771917" w:rsidRDefault="00B52BD2" w:rsidP="002F5F44">
      <w:pPr>
        <w:pStyle w:val="FootnoteText"/>
        <w:spacing w:after="0" w:line="240" w:lineRule="auto"/>
        <w:rPr>
          <w:rFonts w:ascii="Public Sans" w:hAnsi="Public Sans" w:cs="Segoe UI"/>
        </w:rPr>
      </w:pPr>
      <w:r w:rsidRPr="00771917">
        <w:rPr>
          <w:rStyle w:val="FootnoteReference"/>
          <w:rFonts w:ascii="Public Sans" w:hAnsi="Public Sans" w:cs="Segoe UI"/>
          <w:sz w:val="18"/>
        </w:rPr>
        <w:footnoteRef/>
      </w:r>
      <w:r w:rsidRPr="00771917">
        <w:rPr>
          <w:rFonts w:ascii="Public Sans" w:hAnsi="Public Sans" w:cs="Segoe UI"/>
          <w:sz w:val="18"/>
        </w:rPr>
        <w:t xml:space="preserve"> The data captures all matters in which that type of abuse has been reported; in </w:t>
      </w:r>
      <w:r w:rsidRPr="00771917">
        <w:rPr>
          <w:rFonts w:ascii="Public Sans" w:hAnsi="Public Sans" w:cs="Segoe UI"/>
          <w:sz w:val="18"/>
        </w:rPr>
        <w:t xml:space="preserve">the majority of matters, more than one type of abuse is reported. </w:t>
      </w:r>
    </w:p>
  </w:footnote>
  <w:footnote w:id="7">
    <w:p w14:paraId="4AEB2D7F" w14:textId="77777777" w:rsidR="00B52BD2" w:rsidRPr="00652B6E" w:rsidRDefault="00B52BD2" w:rsidP="002F5F44">
      <w:pPr>
        <w:pStyle w:val="FootnoteText"/>
        <w:spacing w:after="0" w:line="240" w:lineRule="auto"/>
        <w:rPr>
          <w:rFonts w:ascii="Public Sans" w:hAnsi="Public Sans" w:cs="Segoe UI"/>
        </w:rPr>
      </w:pPr>
      <w:r w:rsidRPr="00652B6E">
        <w:rPr>
          <w:rStyle w:val="FootnoteReference"/>
          <w:rFonts w:ascii="Public Sans" w:hAnsi="Public Sans" w:cs="Segoe UI"/>
          <w:sz w:val="18"/>
        </w:rPr>
        <w:footnoteRef/>
      </w:r>
      <w:r w:rsidRPr="00652B6E">
        <w:rPr>
          <w:rFonts w:ascii="Public Sans" w:hAnsi="Public Sans" w:cs="Segoe UI"/>
          <w:sz w:val="18"/>
        </w:rPr>
        <w:t xml:space="preserve"> The data captures all matters in which that type of abuse has been reported; in </w:t>
      </w:r>
      <w:r w:rsidRPr="00652B6E">
        <w:rPr>
          <w:rFonts w:ascii="Public Sans" w:hAnsi="Public Sans" w:cs="Segoe UI"/>
          <w:sz w:val="18"/>
        </w:rPr>
        <w:t xml:space="preserve">the majority of matters, more than one type of abuse is reported.   </w:t>
      </w:r>
    </w:p>
  </w:footnote>
  <w:footnote w:id="8">
    <w:p w14:paraId="3B3D3223" w14:textId="77777777" w:rsidR="00B52BD2" w:rsidRPr="004F49CC" w:rsidRDefault="00B52BD2" w:rsidP="0090069D">
      <w:pPr>
        <w:pStyle w:val="FootnoteText"/>
        <w:spacing w:after="0" w:line="240" w:lineRule="auto"/>
        <w:rPr>
          <w:rFonts w:ascii="Public Sans" w:hAnsi="Public Sans"/>
          <w:sz w:val="18"/>
        </w:rPr>
      </w:pPr>
      <w:r w:rsidRPr="004F49CC">
        <w:rPr>
          <w:rStyle w:val="FootnoteReference"/>
          <w:rFonts w:ascii="Public Sans" w:hAnsi="Public Sans"/>
          <w:sz w:val="18"/>
        </w:rPr>
        <w:footnoteRef/>
      </w:r>
      <w:r w:rsidRPr="004F49CC">
        <w:rPr>
          <w:rFonts w:ascii="Public Sans" w:hAnsi="Public Sans"/>
          <w:sz w:val="18"/>
        </w:rPr>
        <w:t xml:space="preserve"> There can be multiple outcomes for an individual.</w:t>
      </w:r>
    </w:p>
  </w:footnote>
  <w:footnote w:id="9">
    <w:p w14:paraId="35B93824" w14:textId="77777777" w:rsidR="00B52BD2" w:rsidRDefault="00B52BD2" w:rsidP="0090069D">
      <w:pPr>
        <w:pStyle w:val="FootnoteText"/>
        <w:spacing w:after="0" w:line="240" w:lineRule="auto"/>
      </w:pPr>
      <w:r w:rsidRPr="004F49CC">
        <w:rPr>
          <w:rStyle w:val="FootnoteReference"/>
          <w:rFonts w:ascii="Public Sans" w:hAnsi="Public Sans"/>
          <w:sz w:val="18"/>
        </w:rPr>
        <w:footnoteRef/>
      </w:r>
      <w:r w:rsidRPr="004F49CC">
        <w:rPr>
          <w:rFonts w:ascii="Public Sans" w:hAnsi="Public Sans"/>
          <w:sz w:val="18"/>
        </w:rPr>
        <w:t xml:space="preserve"> There can be multiple outcomes in relation to an individual.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0E8C1" w14:textId="77777777" w:rsidR="00B52BD2" w:rsidRDefault="00B52BD2" w:rsidP="0076506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0" locked="1" layoutInCell="1" allowOverlap="1" wp14:anchorId="23FF347C" wp14:editId="108D410E">
          <wp:simplePos x="0" y="0"/>
          <wp:positionH relativeFrom="page">
            <wp:posOffset>5715</wp:posOffset>
          </wp:positionH>
          <wp:positionV relativeFrom="page">
            <wp:posOffset>-11430</wp:posOffset>
          </wp:positionV>
          <wp:extent cx="7541895" cy="1292225"/>
          <wp:effectExtent l="0" t="0" r="1905" b="3175"/>
          <wp:wrapTopAndBottom/>
          <wp:docPr id="30" name="Picture 30" descr="Ageing and Disability Commission Logo | 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geing and Disability Commission Logo | NSW Government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895" cy="1292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F2F46"/>
    <w:multiLevelType w:val="hybridMultilevel"/>
    <w:tmpl w:val="8EDCF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F488E"/>
    <w:multiLevelType w:val="hybridMultilevel"/>
    <w:tmpl w:val="1A84B1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D19E6"/>
    <w:multiLevelType w:val="hybridMultilevel"/>
    <w:tmpl w:val="13EA5F3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E7345"/>
    <w:multiLevelType w:val="hybridMultilevel"/>
    <w:tmpl w:val="0FD4AF7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90A8D"/>
    <w:multiLevelType w:val="hybridMultilevel"/>
    <w:tmpl w:val="2CC8728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70C8A"/>
    <w:multiLevelType w:val="hybridMultilevel"/>
    <w:tmpl w:val="6CB49816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D70013C"/>
    <w:multiLevelType w:val="hybridMultilevel"/>
    <w:tmpl w:val="81204816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A0785"/>
    <w:multiLevelType w:val="hybridMultilevel"/>
    <w:tmpl w:val="5254D8A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80B8E"/>
    <w:multiLevelType w:val="hybridMultilevel"/>
    <w:tmpl w:val="E3A6F2C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43F90"/>
    <w:multiLevelType w:val="hybridMultilevel"/>
    <w:tmpl w:val="11E0107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269C8"/>
    <w:multiLevelType w:val="hybridMultilevel"/>
    <w:tmpl w:val="95DC9CC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F430C6"/>
    <w:multiLevelType w:val="hybridMultilevel"/>
    <w:tmpl w:val="CEE84CA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A6141"/>
    <w:multiLevelType w:val="hybridMultilevel"/>
    <w:tmpl w:val="DC42584E"/>
    <w:lvl w:ilvl="0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F5A4D3D"/>
    <w:multiLevelType w:val="hybridMultilevel"/>
    <w:tmpl w:val="EB9C3F8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5A5C17"/>
    <w:multiLevelType w:val="hybridMultilevel"/>
    <w:tmpl w:val="B8288B0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F52895"/>
    <w:multiLevelType w:val="hybridMultilevel"/>
    <w:tmpl w:val="5D18EF86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E54B1B"/>
    <w:multiLevelType w:val="hybridMultilevel"/>
    <w:tmpl w:val="66541D5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7F6A08"/>
    <w:multiLevelType w:val="hybridMultilevel"/>
    <w:tmpl w:val="F3DCD0F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C171F8"/>
    <w:multiLevelType w:val="hybridMultilevel"/>
    <w:tmpl w:val="2FF660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5617D7"/>
    <w:multiLevelType w:val="hybridMultilevel"/>
    <w:tmpl w:val="7D22014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6530D8"/>
    <w:multiLevelType w:val="hybridMultilevel"/>
    <w:tmpl w:val="EF10DC32"/>
    <w:lvl w:ilvl="0" w:tplc="A4D89238">
      <w:start w:val="1"/>
      <w:numFmt w:val="lowerLetter"/>
      <w:lvlText w:val="%1)"/>
      <w:lvlJc w:val="left"/>
      <w:pPr>
        <w:ind w:left="80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26" w:hanging="360"/>
      </w:pPr>
    </w:lvl>
    <w:lvl w:ilvl="2" w:tplc="0C09001B" w:tentative="1">
      <w:start w:val="1"/>
      <w:numFmt w:val="lowerRoman"/>
      <w:lvlText w:val="%3."/>
      <w:lvlJc w:val="right"/>
      <w:pPr>
        <w:ind w:left="2246" w:hanging="180"/>
      </w:pPr>
    </w:lvl>
    <w:lvl w:ilvl="3" w:tplc="0C09000F" w:tentative="1">
      <w:start w:val="1"/>
      <w:numFmt w:val="decimal"/>
      <w:lvlText w:val="%4."/>
      <w:lvlJc w:val="left"/>
      <w:pPr>
        <w:ind w:left="2966" w:hanging="360"/>
      </w:pPr>
    </w:lvl>
    <w:lvl w:ilvl="4" w:tplc="0C090019" w:tentative="1">
      <w:start w:val="1"/>
      <w:numFmt w:val="lowerLetter"/>
      <w:lvlText w:val="%5."/>
      <w:lvlJc w:val="left"/>
      <w:pPr>
        <w:ind w:left="3686" w:hanging="360"/>
      </w:pPr>
    </w:lvl>
    <w:lvl w:ilvl="5" w:tplc="0C09001B" w:tentative="1">
      <w:start w:val="1"/>
      <w:numFmt w:val="lowerRoman"/>
      <w:lvlText w:val="%6."/>
      <w:lvlJc w:val="right"/>
      <w:pPr>
        <w:ind w:left="4406" w:hanging="180"/>
      </w:pPr>
    </w:lvl>
    <w:lvl w:ilvl="6" w:tplc="0C09000F" w:tentative="1">
      <w:start w:val="1"/>
      <w:numFmt w:val="decimal"/>
      <w:lvlText w:val="%7."/>
      <w:lvlJc w:val="left"/>
      <w:pPr>
        <w:ind w:left="5126" w:hanging="360"/>
      </w:pPr>
    </w:lvl>
    <w:lvl w:ilvl="7" w:tplc="0C090019" w:tentative="1">
      <w:start w:val="1"/>
      <w:numFmt w:val="lowerLetter"/>
      <w:lvlText w:val="%8."/>
      <w:lvlJc w:val="left"/>
      <w:pPr>
        <w:ind w:left="5846" w:hanging="360"/>
      </w:pPr>
    </w:lvl>
    <w:lvl w:ilvl="8" w:tplc="0C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21" w15:restartNumberingAfterBreak="0">
    <w:nsid w:val="4A387836"/>
    <w:multiLevelType w:val="hybridMultilevel"/>
    <w:tmpl w:val="3934061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5C56F6"/>
    <w:multiLevelType w:val="hybridMultilevel"/>
    <w:tmpl w:val="1C589CA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4F2686"/>
    <w:multiLevelType w:val="hybridMultilevel"/>
    <w:tmpl w:val="55FE6C2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5E0F6A"/>
    <w:multiLevelType w:val="hybridMultilevel"/>
    <w:tmpl w:val="49FCDB0E"/>
    <w:lvl w:ilvl="0" w:tplc="0C09000F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B16DBE"/>
    <w:multiLevelType w:val="hybridMultilevel"/>
    <w:tmpl w:val="C302CE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95B2D"/>
    <w:multiLevelType w:val="hybridMultilevel"/>
    <w:tmpl w:val="2EF6DA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BB7445"/>
    <w:multiLevelType w:val="hybridMultilevel"/>
    <w:tmpl w:val="107807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30387C"/>
    <w:multiLevelType w:val="hybridMultilevel"/>
    <w:tmpl w:val="1618FEA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242F9D"/>
    <w:multiLevelType w:val="hybridMultilevel"/>
    <w:tmpl w:val="45F2A19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1730B7"/>
    <w:multiLevelType w:val="hybridMultilevel"/>
    <w:tmpl w:val="0770A4D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DE715A"/>
    <w:multiLevelType w:val="hybridMultilevel"/>
    <w:tmpl w:val="9484059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9F01B1"/>
    <w:multiLevelType w:val="hybridMultilevel"/>
    <w:tmpl w:val="7706C52C"/>
    <w:lvl w:ilvl="0" w:tplc="FC7841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FC7097"/>
    <w:multiLevelType w:val="hybridMultilevel"/>
    <w:tmpl w:val="1CAC51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A91C37"/>
    <w:multiLevelType w:val="multilevel"/>
    <w:tmpl w:val="B30EA9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739455B8"/>
    <w:multiLevelType w:val="hybridMultilevel"/>
    <w:tmpl w:val="8842DE40"/>
    <w:lvl w:ilvl="0" w:tplc="311A0470">
      <w:start w:val="1"/>
      <w:numFmt w:val="lowerLetter"/>
      <w:lvlText w:val="%1)"/>
      <w:lvlJc w:val="left"/>
      <w:pPr>
        <w:ind w:left="82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48" w:hanging="360"/>
      </w:pPr>
    </w:lvl>
    <w:lvl w:ilvl="2" w:tplc="0C09001B" w:tentative="1">
      <w:start w:val="1"/>
      <w:numFmt w:val="lowerRoman"/>
      <w:lvlText w:val="%3."/>
      <w:lvlJc w:val="right"/>
      <w:pPr>
        <w:ind w:left="2268" w:hanging="180"/>
      </w:pPr>
    </w:lvl>
    <w:lvl w:ilvl="3" w:tplc="0C09000F" w:tentative="1">
      <w:start w:val="1"/>
      <w:numFmt w:val="decimal"/>
      <w:lvlText w:val="%4."/>
      <w:lvlJc w:val="left"/>
      <w:pPr>
        <w:ind w:left="2988" w:hanging="360"/>
      </w:pPr>
    </w:lvl>
    <w:lvl w:ilvl="4" w:tplc="0C090019" w:tentative="1">
      <w:start w:val="1"/>
      <w:numFmt w:val="lowerLetter"/>
      <w:lvlText w:val="%5."/>
      <w:lvlJc w:val="left"/>
      <w:pPr>
        <w:ind w:left="3708" w:hanging="360"/>
      </w:pPr>
    </w:lvl>
    <w:lvl w:ilvl="5" w:tplc="0C09001B" w:tentative="1">
      <w:start w:val="1"/>
      <w:numFmt w:val="lowerRoman"/>
      <w:lvlText w:val="%6."/>
      <w:lvlJc w:val="right"/>
      <w:pPr>
        <w:ind w:left="4428" w:hanging="180"/>
      </w:pPr>
    </w:lvl>
    <w:lvl w:ilvl="6" w:tplc="0C09000F" w:tentative="1">
      <w:start w:val="1"/>
      <w:numFmt w:val="decimal"/>
      <w:lvlText w:val="%7."/>
      <w:lvlJc w:val="left"/>
      <w:pPr>
        <w:ind w:left="5148" w:hanging="360"/>
      </w:pPr>
    </w:lvl>
    <w:lvl w:ilvl="7" w:tplc="0C090019" w:tentative="1">
      <w:start w:val="1"/>
      <w:numFmt w:val="lowerLetter"/>
      <w:lvlText w:val="%8."/>
      <w:lvlJc w:val="left"/>
      <w:pPr>
        <w:ind w:left="5868" w:hanging="360"/>
      </w:pPr>
    </w:lvl>
    <w:lvl w:ilvl="8" w:tplc="0C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6" w15:restartNumberingAfterBreak="0">
    <w:nsid w:val="79686F2C"/>
    <w:multiLevelType w:val="hybridMultilevel"/>
    <w:tmpl w:val="776CE09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0603C6"/>
    <w:multiLevelType w:val="hybridMultilevel"/>
    <w:tmpl w:val="C5CA7B94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A073DE3"/>
    <w:multiLevelType w:val="hybridMultilevel"/>
    <w:tmpl w:val="BAAA8E3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076B01"/>
    <w:multiLevelType w:val="hybridMultilevel"/>
    <w:tmpl w:val="C51C3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D443F"/>
    <w:multiLevelType w:val="hybridMultilevel"/>
    <w:tmpl w:val="B3AAF00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F90DE3"/>
    <w:multiLevelType w:val="hybridMultilevel"/>
    <w:tmpl w:val="B4BE4F6C"/>
    <w:lvl w:ilvl="0" w:tplc="B3DC6E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38098889">
    <w:abstractNumId w:val="39"/>
  </w:num>
  <w:num w:numId="2" w16cid:durableId="2118255886">
    <w:abstractNumId w:val="18"/>
  </w:num>
  <w:num w:numId="3" w16cid:durableId="173761912">
    <w:abstractNumId w:val="25"/>
  </w:num>
  <w:num w:numId="4" w16cid:durableId="1950118563">
    <w:abstractNumId w:val="5"/>
  </w:num>
  <w:num w:numId="5" w16cid:durableId="2049452675">
    <w:abstractNumId w:val="33"/>
  </w:num>
  <w:num w:numId="6" w16cid:durableId="894779487">
    <w:abstractNumId w:val="26"/>
  </w:num>
  <w:num w:numId="7" w16cid:durableId="1831292212">
    <w:abstractNumId w:val="1"/>
  </w:num>
  <w:num w:numId="8" w16cid:durableId="945190738">
    <w:abstractNumId w:val="12"/>
  </w:num>
  <w:num w:numId="9" w16cid:durableId="1537237722">
    <w:abstractNumId w:val="40"/>
  </w:num>
  <w:num w:numId="10" w16cid:durableId="956179553">
    <w:abstractNumId w:val="34"/>
  </w:num>
  <w:num w:numId="11" w16cid:durableId="1147626448">
    <w:abstractNumId w:val="0"/>
  </w:num>
  <w:num w:numId="12" w16cid:durableId="1503013779">
    <w:abstractNumId w:val="3"/>
  </w:num>
  <w:num w:numId="13" w16cid:durableId="1117141309">
    <w:abstractNumId w:val="24"/>
  </w:num>
  <w:num w:numId="14" w16cid:durableId="1630234806">
    <w:abstractNumId w:val="36"/>
  </w:num>
  <w:num w:numId="15" w16cid:durableId="938369635">
    <w:abstractNumId w:val="8"/>
  </w:num>
  <w:num w:numId="16" w16cid:durableId="1035958487">
    <w:abstractNumId w:val="23"/>
  </w:num>
  <w:num w:numId="17" w16cid:durableId="1442846364">
    <w:abstractNumId w:val="38"/>
  </w:num>
  <w:num w:numId="18" w16cid:durableId="378431424">
    <w:abstractNumId w:val="30"/>
  </w:num>
  <w:num w:numId="19" w16cid:durableId="1337806761">
    <w:abstractNumId w:val="17"/>
  </w:num>
  <w:num w:numId="20" w16cid:durableId="112990482">
    <w:abstractNumId w:val="21"/>
  </w:num>
  <w:num w:numId="21" w16cid:durableId="1282762727">
    <w:abstractNumId w:val="7"/>
  </w:num>
  <w:num w:numId="22" w16cid:durableId="703752940">
    <w:abstractNumId w:val="13"/>
  </w:num>
  <w:num w:numId="23" w16cid:durableId="889536103">
    <w:abstractNumId w:val="6"/>
  </w:num>
  <w:num w:numId="24" w16cid:durableId="149056301">
    <w:abstractNumId w:val="9"/>
  </w:num>
  <w:num w:numId="25" w16cid:durableId="1124470690">
    <w:abstractNumId w:val="16"/>
  </w:num>
  <w:num w:numId="26" w16cid:durableId="691763299">
    <w:abstractNumId w:val="22"/>
  </w:num>
  <w:num w:numId="27" w16cid:durableId="1744067186">
    <w:abstractNumId w:val="10"/>
  </w:num>
  <w:num w:numId="28" w16cid:durableId="896431796">
    <w:abstractNumId w:val="2"/>
  </w:num>
  <w:num w:numId="29" w16cid:durableId="1789162376">
    <w:abstractNumId w:val="14"/>
  </w:num>
  <w:num w:numId="30" w16cid:durableId="558170569">
    <w:abstractNumId w:val="27"/>
  </w:num>
  <w:num w:numId="31" w16cid:durableId="1696497260">
    <w:abstractNumId w:val="32"/>
  </w:num>
  <w:num w:numId="32" w16cid:durableId="2046445226">
    <w:abstractNumId w:val="28"/>
  </w:num>
  <w:num w:numId="33" w16cid:durableId="321158136">
    <w:abstractNumId w:val="15"/>
  </w:num>
  <w:num w:numId="34" w16cid:durableId="799298127">
    <w:abstractNumId w:val="4"/>
  </w:num>
  <w:num w:numId="35" w16cid:durableId="1479105049">
    <w:abstractNumId w:val="11"/>
  </w:num>
  <w:num w:numId="36" w16cid:durableId="281307794">
    <w:abstractNumId w:val="41"/>
  </w:num>
  <w:num w:numId="37" w16cid:durableId="530071940">
    <w:abstractNumId w:val="29"/>
  </w:num>
  <w:num w:numId="38" w16cid:durableId="1907177961">
    <w:abstractNumId w:val="31"/>
  </w:num>
  <w:num w:numId="39" w16cid:durableId="1692098282">
    <w:abstractNumId w:val="37"/>
  </w:num>
  <w:num w:numId="40" w16cid:durableId="2022929128">
    <w:abstractNumId w:val="19"/>
  </w:num>
  <w:num w:numId="41" w16cid:durableId="1322272987">
    <w:abstractNumId w:val="20"/>
  </w:num>
  <w:num w:numId="42" w16cid:durableId="165841931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3D8"/>
    <w:rsid w:val="000003DC"/>
    <w:rsid w:val="00002503"/>
    <w:rsid w:val="00003E08"/>
    <w:rsid w:val="00004192"/>
    <w:rsid w:val="00007D2B"/>
    <w:rsid w:val="00013696"/>
    <w:rsid w:val="00014357"/>
    <w:rsid w:val="00016EA9"/>
    <w:rsid w:val="00032CEB"/>
    <w:rsid w:val="00033D8B"/>
    <w:rsid w:val="00035721"/>
    <w:rsid w:val="00037F4D"/>
    <w:rsid w:val="0004045F"/>
    <w:rsid w:val="00045FBF"/>
    <w:rsid w:val="000476AE"/>
    <w:rsid w:val="00051DE4"/>
    <w:rsid w:val="00053CC5"/>
    <w:rsid w:val="00054AD4"/>
    <w:rsid w:val="0005529D"/>
    <w:rsid w:val="00060919"/>
    <w:rsid w:val="00064857"/>
    <w:rsid w:val="0007053C"/>
    <w:rsid w:val="00070B5C"/>
    <w:rsid w:val="00071E0E"/>
    <w:rsid w:val="00073B65"/>
    <w:rsid w:val="00075101"/>
    <w:rsid w:val="00076AB9"/>
    <w:rsid w:val="00076AC7"/>
    <w:rsid w:val="00077192"/>
    <w:rsid w:val="000774BA"/>
    <w:rsid w:val="00081556"/>
    <w:rsid w:val="0009043E"/>
    <w:rsid w:val="00091DD2"/>
    <w:rsid w:val="00093702"/>
    <w:rsid w:val="00093E98"/>
    <w:rsid w:val="00095EC5"/>
    <w:rsid w:val="000A0DF1"/>
    <w:rsid w:val="000A2F1A"/>
    <w:rsid w:val="000A3596"/>
    <w:rsid w:val="000A67FE"/>
    <w:rsid w:val="000A7AF8"/>
    <w:rsid w:val="000B3A6C"/>
    <w:rsid w:val="000B3EB5"/>
    <w:rsid w:val="000B44DA"/>
    <w:rsid w:val="000B5089"/>
    <w:rsid w:val="000B548E"/>
    <w:rsid w:val="000C04B1"/>
    <w:rsid w:val="000C1B79"/>
    <w:rsid w:val="000C2E33"/>
    <w:rsid w:val="000C33EC"/>
    <w:rsid w:val="000C3AE5"/>
    <w:rsid w:val="000C528D"/>
    <w:rsid w:val="000C6A2C"/>
    <w:rsid w:val="000C6FE0"/>
    <w:rsid w:val="000D0814"/>
    <w:rsid w:val="000D1820"/>
    <w:rsid w:val="000D6D39"/>
    <w:rsid w:val="000E0B6A"/>
    <w:rsid w:val="000E106C"/>
    <w:rsid w:val="000E23B6"/>
    <w:rsid w:val="000E254B"/>
    <w:rsid w:val="000E2FD4"/>
    <w:rsid w:val="000E3DCE"/>
    <w:rsid w:val="000E6C6A"/>
    <w:rsid w:val="000F0A8B"/>
    <w:rsid w:val="000F2BF5"/>
    <w:rsid w:val="000F3677"/>
    <w:rsid w:val="000F5954"/>
    <w:rsid w:val="000F63DC"/>
    <w:rsid w:val="000F7810"/>
    <w:rsid w:val="001008E3"/>
    <w:rsid w:val="00100CE9"/>
    <w:rsid w:val="00101B61"/>
    <w:rsid w:val="00104A3D"/>
    <w:rsid w:val="0010548E"/>
    <w:rsid w:val="00105663"/>
    <w:rsid w:val="00105A19"/>
    <w:rsid w:val="00105BAC"/>
    <w:rsid w:val="0010665B"/>
    <w:rsid w:val="00115243"/>
    <w:rsid w:val="00120E8C"/>
    <w:rsid w:val="001222F2"/>
    <w:rsid w:val="001243F3"/>
    <w:rsid w:val="0012564E"/>
    <w:rsid w:val="00126291"/>
    <w:rsid w:val="00126875"/>
    <w:rsid w:val="00126A19"/>
    <w:rsid w:val="00127E53"/>
    <w:rsid w:val="00130A33"/>
    <w:rsid w:val="00130BAD"/>
    <w:rsid w:val="00132CCF"/>
    <w:rsid w:val="001342F4"/>
    <w:rsid w:val="001359EE"/>
    <w:rsid w:val="001402AD"/>
    <w:rsid w:val="00142C96"/>
    <w:rsid w:val="00143537"/>
    <w:rsid w:val="0014378A"/>
    <w:rsid w:val="00144CC1"/>
    <w:rsid w:val="0014515E"/>
    <w:rsid w:val="00146BA6"/>
    <w:rsid w:val="00152023"/>
    <w:rsid w:val="00153D12"/>
    <w:rsid w:val="00154BFA"/>
    <w:rsid w:val="001555A4"/>
    <w:rsid w:val="00156EF4"/>
    <w:rsid w:val="00160523"/>
    <w:rsid w:val="001609A4"/>
    <w:rsid w:val="001609B8"/>
    <w:rsid w:val="00161ABF"/>
    <w:rsid w:val="0016418C"/>
    <w:rsid w:val="001641FE"/>
    <w:rsid w:val="001664D4"/>
    <w:rsid w:val="00171EED"/>
    <w:rsid w:val="0017219D"/>
    <w:rsid w:val="00177203"/>
    <w:rsid w:val="0018360E"/>
    <w:rsid w:val="00184644"/>
    <w:rsid w:val="00187BF5"/>
    <w:rsid w:val="001A1431"/>
    <w:rsid w:val="001A2311"/>
    <w:rsid w:val="001A5FB2"/>
    <w:rsid w:val="001A6FB2"/>
    <w:rsid w:val="001B0504"/>
    <w:rsid w:val="001B1AAB"/>
    <w:rsid w:val="001B1CC3"/>
    <w:rsid w:val="001B2A61"/>
    <w:rsid w:val="001B35AA"/>
    <w:rsid w:val="001B37C3"/>
    <w:rsid w:val="001B461D"/>
    <w:rsid w:val="001B71FD"/>
    <w:rsid w:val="001C00A8"/>
    <w:rsid w:val="001C1067"/>
    <w:rsid w:val="001C1CBA"/>
    <w:rsid w:val="001C2806"/>
    <w:rsid w:val="001C3F32"/>
    <w:rsid w:val="001C5B12"/>
    <w:rsid w:val="001D13E9"/>
    <w:rsid w:val="001E1198"/>
    <w:rsid w:val="001E360D"/>
    <w:rsid w:val="001E4675"/>
    <w:rsid w:val="001F3FBA"/>
    <w:rsid w:val="001F5577"/>
    <w:rsid w:val="00201EC8"/>
    <w:rsid w:val="002020F2"/>
    <w:rsid w:val="00202F21"/>
    <w:rsid w:val="00204090"/>
    <w:rsid w:val="00205DA6"/>
    <w:rsid w:val="002064A5"/>
    <w:rsid w:val="00207343"/>
    <w:rsid w:val="00211A58"/>
    <w:rsid w:val="00214713"/>
    <w:rsid w:val="002167CF"/>
    <w:rsid w:val="00222CA6"/>
    <w:rsid w:val="00223CE4"/>
    <w:rsid w:val="002255D9"/>
    <w:rsid w:val="00225FDE"/>
    <w:rsid w:val="002262AE"/>
    <w:rsid w:val="002272E4"/>
    <w:rsid w:val="002279EB"/>
    <w:rsid w:val="00227EF7"/>
    <w:rsid w:val="00230D97"/>
    <w:rsid w:val="0023234E"/>
    <w:rsid w:val="002325C7"/>
    <w:rsid w:val="002332D4"/>
    <w:rsid w:val="00234D13"/>
    <w:rsid w:val="002401C5"/>
    <w:rsid w:val="00242E99"/>
    <w:rsid w:val="0024622C"/>
    <w:rsid w:val="00247D27"/>
    <w:rsid w:val="002504DB"/>
    <w:rsid w:val="002525F1"/>
    <w:rsid w:val="00253901"/>
    <w:rsid w:val="00255082"/>
    <w:rsid w:val="00257A2C"/>
    <w:rsid w:val="00262978"/>
    <w:rsid w:val="0027009A"/>
    <w:rsid w:val="00270EC6"/>
    <w:rsid w:val="00272E3A"/>
    <w:rsid w:val="002807B8"/>
    <w:rsid w:val="002807BC"/>
    <w:rsid w:val="002819F5"/>
    <w:rsid w:val="0028332A"/>
    <w:rsid w:val="00285258"/>
    <w:rsid w:val="00285524"/>
    <w:rsid w:val="002930FB"/>
    <w:rsid w:val="002948C7"/>
    <w:rsid w:val="002A0313"/>
    <w:rsid w:val="002A175E"/>
    <w:rsid w:val="002A2F86"/>
    <w:rsid w:val="002A564E"/>
    <w:rsid w:val="002B1F03"/>
    <w:rsid w:val="002B1F5C"/>
    <w:rsid w:val="002B3CAD"/>
    <w:rsid w:val="002B3E22"/>
    <w:rsid w:val="002B4DCD"/>
    <w:rsid w:val="002B51BE"/>
    <w:rsid w:val="002B6964"/>
    <w:rsid w:val="002B7411"/>
    <w:rsid w:val="002B7852"/>
    <w:rsid w:val="002C1CA1"/>
    <w:rsid w:val="002C200C"/>
    <w:rsid w:val="002C58E5"/>
    <w:rsid w:val="002C684D"/>
    <w:rsid w:val="002D2AAE"/>
    <w:rsid w:val="002D3562"/>
    <w:rsid w:val="002D60EB"/>
    <w:rsid w:val="002E0A72"/>
    <w:rsid w:val="002E289F"/>
    <w:rsid w:val="002E2D53"/>
    <w:rsid w:val="002F32BA"/>
    <w:rsid w:val="002F5F44"/>
    <w:rsid w:val="002F7582"/>
    <w:rsid w:val="003033FC"/>
    <w:rsid w:val="003039ED"/>
    <w:rsid w:val="003047E0"/>
    <w:rsid w:val="003066AE"/>
    <w:rsid w:val="00306750"/>
    <w:rsid w:val="0031233C"/>
    <w:rsid w:val="003141C6"/>
    <w:rsid w:val="00316B88"/>
    <w:rsid w:val="00317399"/>
    <w:rsid w:val="00320494"/>
    <w:rsid w:val="00330CB4"/>
    <w:rsid w:val="00331185"/>
    <w:rsid w:val="00336B02"/>
    <w:rsid w:val="00340F74"/>
    <w:rsid w:val="00341203"/>
    <w:rsid w:val="00342384"/>
    <w:rsid w:val="00344286"/>
    <w:rsid w:val="00345E6E"/>
    <w:rsid w:val="00351D6C"/>
    <w:rsid w:val="003549E4"/>
    <w:rsid w:val="0035769A"/>
    <w:rsid w:val="0036129A"/>
    <w:rsid w:val="00362726"/>
    <w:rsid w:val="003643D3"/>
    <w:rsid w:val="00370CA4"/>
    <w:rsid w:val="00370E0A"/>
    <w:rsid w:val="00374A98"/>
    <w:rsid w:val="00374EA7"/>
    <w:rsid w:val="003810A5"/>
    <w:rsid w:val="0038368E"/>
    <w:rsid w:val="00383FF6"/>
    <w:rsid w:val="00384439"/>
    <w:rsid w:val="003847E0"/>
    <w:rsid w:val="00387722"/>
    <w:rsid w:val="00391216"/>
    <w:rsid w:val="003924AC"/>
    <w:rsid w:val="00394B79"/>
    <w:rsid w:val="0039583C"/>
    <w:rsid w:val="00395A8A"/>
    <w:rsid w:val="0039637D"/>
    <w:rsid w:val="00396C1A"/>
    <w:rsid w:val="003A1187"/>
    <w:rsid w:val="003A2012"/>
    <w:rsid w:val="003A2E78"/>
    <w:rsid w:val="003A3345"/>
    <w:rsid w:val="003A3933"/>
    <w:rsid w:val="003A3F19"/>
    <w:rsid w:val="003A6EBC"/>
    <w:rsid w:val="003B2319"/>
    <w:rsid w:val="003B64C2"/>
    <w:rsid w:val="003B6C60"/>
    <w:rsid w:val="003C20DC"/>
    <w:rsid w:val="003C531F"/>
    <w:rsid w:val="003C5529"/>
    <w:rsid w:val="003C55BB"/>
    <w:rsid w:val="003C641B"/>
    <w:rsid w:val="003C7CEC"/>
    <w:rsid w:val="003D02E4"/>
    <w:rsid w:val="003D043A"/>
    <w:rsid w:val="003D0614"/>
    <w:rsid w:val="003D0AF3"/>
    <w:rsid w:val="003D12AF"/>
    <w:rsid w:val="003D1E13"/>
    <w:rsid w:val="003D1F72"/>
    <w:rsid w:val="003D2C2F"/>
    <w:rsid w:val="003D4C54"/>
    <w:rsid w:val="003D5C8E"/>
    <w:rsid w:val="003D7325"/>
    <w:rsid w:val="003E3EEB"/>
    <w:rsid w:val="003E57B9"/>
    <w:rsid w:val="003F53DD"/>
    <w:rsid w:val="003F5D66"/>
    <w:rsid w:val="003F6016"/>
    <w:rsid w:val="00400B44"/>
    <w:rsid w:val="004067AE"/>
    <w:rsid w:val="00410E3F"/>
    <w:rsid w:val="004122E7"/>
    <w:rsid w:val="00412D93"/>
    <w:rsid w:val="00414CD1"/>
    <w:rsid w:val="00420D09"/>
    <w:rsid w:val="00421E37"/>
    <w:rsid w:val="00421F21"/>
    <w:rsid w:val="0043120A"/>
    <w:rsid w:val="00432C6A"/>
    <w:rsid w:val="004338B1"/>
    <w:rsid w:val="00440623"/>
    <w:rsid w:val="00446027"/>
    <w:rsid w:val="0045359B"/>
    <w:rsid w:val="0045441D"/>
    <w:rsid w:val="00455062"/>
    <w:rsid w:val="00463D6D"/>
    <w:rsid w:val="004661B7"/>
    <w:rsid w:val="00476881"/>
    <w:rsid w:val="00482283"/>
    <w:rsid w:val="0048260A"/>
    <w:rsid w:val="00482684"/>
    <w:rsid w:val="00491635"/>
    <w:rsid w:val="0049428C"/>
    <w:rsid w:val="004953B3"/>
    <w:rsid w:val="004A36AB"/>
    <w:rsid w:val="004A4159"/>
    <w:rsid w:val="004A4FD0"/>
    <w:rsid w:val="004B13B5"/>
    <w:rsid w:val="004B3971"/>
    <w:rsid w:val="004B5BC7"/>
    <w:rsid w:val="004B6977"/>
    <w:rsid w:val="004B77EA"/>
    <w:rsid w:val="004C4AAA"/>
    <w:rsid w:val="004D0A0D"/>
    <w:rsid w:val="004D4569"/>
    <w:rsid w:val="004D5ACC"/>
    <w:rsid w:val="004D600A"/>
    <w:rsid w:val="004D68DC"/>
    <w:rsid w:val="004D7508"/>
    <w:rsid w:val="004E332F"/>
    <w:rsid w:val="004E7BF1"/>
    <w:rsid w:val="004F0A41"/>
    <w:rsid w:val="004F49CC"/>
    <w:rsid w:val="0050048A"/>
    <w:rsid w:val="00502500"/>
    <w:rsid w:val="00502FDA"/>
    <w:rsid w:val="005036C5"/>
    <w:rsid w:val="005064BD"/>
    <w:rsid w:val="00507E27"/>
    <w:rsid w:val="005114EA"/>
    <w:rsid w:val="00513827"/>
    <w:rsid w:val="005153AF"/>
    <w:rsid w:val="0051613C"/>
    <w:rsid w:val="005211F0"/>
    <w:rsid w:val="005214D2"/>
    <w:rsid w:val="00522B10"/>
    <w:rsid w:val="00523A36"/>
    <w:rsid w:val="0052546B"/>
    <w:rsid w:val="00525812"/>
    <w:rsid w:val="00535CDD"/>
    <w:rsid w:val="005361C8"/>
    <w:rsid w:val="00537A2D"/>
    <w:rsid w:val="0054426B"/>
    <w:rsid w:val="0054553A"/>
    <w:rsid w:val="00545A80"/>
    <w:rsid w:val="0054619B"/>
    <w:rsid w:val="005462A9"/>
    <w:rsid w:val="005506FC"/>
    <w:rsid w:val="00555313"/>
    <w:rsid w:val="005558B6"/>
    <w:rsid w:val="005576E4"/>
    <w:rsid w:val="0056075F"/>
    <w:rsid w:val="0056780C"/>
    <w:rsid w:val="005709DE"/>
    <w:rsid w:val="00571A83"/>
    <w:rsid w:val="00571D1C"/>
    <w:rsid w:val="005729BD"/>
    <w:rsid w:val="00573A7C"/>
    <w:rsid w:val="00575F73"/>
    <w:rsid w:val="00576B62"/>
    <w:rsid w:val="00584B4E"/>
    <w:rsid w:val="00584DA4"/>
    <w:rsid w:val="00595F8F"/>
    <w:rsid w:val="005962CF"/>
    <w:rsid w:val="005963B9"/>
    <w:rsid w:val="005A1391"/>
    <w:rsid w:val="005A15C5"/>
    <w:rsid w:val="005A1EB2"/>
    <w:rsid w:val="005B0937"/>
    <w:rsid w:val="005B09CE"/>
    <w:rsid w:val="005B2CA1"/>
    <w:rsid w:val="005B2E72"/>
    <w:rsid w:val="005B7FAE"/>
    <w:rsid w:val="005C0C0B"/>
    <w:rsid w:val="005C74A7"/>
    <w:rsid w:val="005D0C70"/>
    <w:rsid w:val="005D1C39"/>
    <w:rsid w:val="005D4657"/>
    <w:rsid w:val="005D4ABC"/>
    <w:rsid w:val="005D6C1F"/>
    <w:rsid w:val="005E0384"/>
    <w:rsid w:val="005E1F34"/>
    <w:rsid w:val="005E2AA6"/>
    <w:rsid w:val="005E4E3C"/>
    <w:rsid w:val="005E5CC8"/>
    <w:rsid w:val="005E6A87"/>
    <w:rsid w:val="005E6FF5"/>
    <w:rsid w:val="005E7202"/>
    <w:rsid w:val="005F4FE8"/>
    <w:rsid w:val="005F6B95"/>
    <w:rsid w:val="006019FE"/>
    <w:rsid w:val="006048FF"/>
    <w:rsid w:val="00606132"/>
    <w:rsid w:val="00606561"/>
    <w:rsid w:val="006075AC"/>
    <w:rsid w:val="00610878"/>
    <w:rsid w:val="006109BC"/>
    <w:rsid w:val="006129C5"/>
    <w:rsid w:val="006135A6"/>
    <w:rsid w:val="00613AF2"/>
    <w:rsid w:val="00613BBE"/>
    <w:rsid w:val="00616202"/>
    <w:rsid w:val="00617219"/>
    <w:rsid w:val="00620D1C"/>
    <w:rsid w:val="00620DDC"/>
    <w:rsid w:val="00621569"/>
    <w:rsid w:val="0062174E"/>
    <w:rsid w:val="00625B48"/>
    <w:rsid w:val="00630D17"/>
    <w:rsid w:val="00631A3A"/>
    <w:rsid w:val="006357D1"/>
    <w:rsid w:val="00642E1A"/>
    <w:rsid w:val="0064341B"/>
    <w:rsid w:val="00643D24"/>
    <w:rsid w:val="00644E3D"/>
    <w:rsid w:val="006459CE"/>
    <w:rsid w:val="006478FC"/>
    <w:rsid w:val="00650CBA"/>
    <w:rsid w:val="00652B6E"/>
    <w:rsid w:val="00652F7C"/>
    <w:rsid w:val="0065477F"/>
    <w:rsid w:val="0065526D"/>
    <w:rsid w:val="00655F22"/>
    <w:rsid w:val="00656C29"/>
    <w:rsid w:val="00656E54"/>
    <w:rsid w:val="00662517"/>
    <w:rsid w:val="0066276A"/>
    <w:rsid w:val="0066419B"/>
    <w:rsid w:val="0066456C"/>
    <w:rsid w:val="006652CB"/>
    <w:rsid w:val="00671470"/>
    <w:rsid w:val="006715A5"/>
    <w:rsid w:val="00672B16"/>
    <w:rsid w:val="00672B94"/>
    <w:rsid w:val="006739D2"/>
    <w:rsid w:val="0067473E"/>
    <w:rsid w:val="0067487A"/>
    <w:rsid w:val="006756EA"/>
    <w:rsid w:val="0067723C"/>
    <w:rsid w:val="006813C5"/>
    <w:rsid w:val="006816DF"/>
    <w:rsid w:val="006853E7"/>
    <w:rsid w:val="00685BF9"/>
    <w:rsid w:val="006929C2"/>
    <w:rsid w:val="006935AE"/>
    <w:rsid w:val="00696F28"/>
    <w:rsid w:val="006A377B"/>
    <w:rsid w:val="006A6FDC"/>
    <w:rsid w:val="006B0F2A"/>
    <w:rsid w:val="006B15BD"/>
    <w:rsid w:val="006B182B"/>
    <w:rsid w:val="006B23EA"/>
    <w:rsid w:val="006B447F"/>
    <w:rsid w:val="006B5165"/>
    <w:rsid w:val="006B6D30"/>
    <w:rsid w:val="006C15AD"/>
    <w:rsid w:val="006C3D79"/>
    <w:rsid w:val="006C3E4E"/>
    <w:rsid w:val="006C716F"/>
    <w:rsid w:val="006C7668"/>
    <w:rsid w:val="006C7F4C"/>
    <w:rsid w:val="006D3DCF"/>
    <w:rsid w:val="006D638C"/>
    <w:rsid w:val="006E028C"/>
    <w:rsid w:val="006E0CE6"/>
    <w:rsid w:val="006E0FA6"/>
    <w:rsid w:val="006E0FAB"/>
    <w:rsid w:val="006E301E"/>
    <w:rsid w:val="006F5FA5"/>
    <w:rsid w:val="006F6066"/>
    <w:rsid w:val="006F6F8B"/>
    <w:rsid w:val="00707AF4"/>
    <w:rsid w:val="00710738"/>
    <w:rsid w:val="00711A93"/>
    <w:rsid w:val="00715BDA"/>
    <w:rsid w:val="00716C45"/>
    <w:rsid w:val="00722541"/>
    <w:rsid w:val="007241E1"/>
    <w:rsid w:val="00727DFB"/>
    <w:rsid w:val="00730028"/>
    <w:rsid w:val="00730139"/>
    <w:rsid w:val="007319BA"/>
    <w:rsid w:val="007336D7"/>
    <w:rsid w:val="007342E8"/>
    <w:rsid w:val="0073669A"/>
    <w:rsid w:val="00740C94"/>
    <w:rsid w:val="00740E41"/>
    <w:rsid w:val="00740F07"/>
    <w:rsid w:val="00741923"/>
    <w:rsid w:val="00742DD9"/>
    <w:rsid w:val="00747AE4"/>
    <w:rsid w:val="00753514"/>
    <w:rsid w:val="00757506"/>
    <w:rsid w:val="007601AC"/>
    <w:rsid w:val="0076068C"/>
    <w:rsid w:val="00762A95"/>
    <w:rsid w:val="007631E4"/>
    <w:rsid w:val="0076506B"/>
    <w:rsid w:val="00765E1B"/>
    <w:rsid w:val="00766409"/>
    <w:rsid w:val="00767B8F"/>
    <w:rsid w:val="00771917"/>
    <w:rsid w:val="0077251B"/>
    <w:rsid w:val="007770FB"/>
    <w:rsid w:val="007814B0"/>
    <w:rsid w:val="007835CC"/>
    <w:rsid w:val="007851A8"/>
    <w:rsid w:val="00790BD3"/>
    <w:rsid w:val="00791885"/>
    <w:rsid w:val="00791F02"/>
    <w:rsid w:val="007956DC"/>
    <w:rsid w:val="007A0599"/>
    <w:rsid w:val="007A0F04"/>
    <w:rsid w:val="007A2402"/>
    <w:rsid w:val="007A270E"/>
    <w:rsid w:val="007A350D"/>
    <w:rsid w:val="007A38C5"/>
    <w:rsid w:val="007A4BC6"/>
    <w:rsid w:val="007B2057"/>
    <w:rsid w:val="007B2324"/>
    <w:rsid w:val="007B744A"/>
    <w:rsid w:val="007B756D"/>
    <w:rsid w:val="007C35E0"/>
    <w:rsid w:val="007C41B6"/>
    <w:rsid w:val="007C4F6E"/>
    <w:rsid w:val="007C53F4"/>
    <w:rsid w:val="007C5F56"/>
    <w:rsid w:val="007D131C"/>
    <w:rsid w:val="007D19E4"/>
    <w:rsid w:val="007D2CF6"/>
    <w:rsid w:val="007D4A94"/>
    <w:rsid w:val="007D4C6A"/>
    <w:rsid w:val="007D6AE2"/>
    <w:rsid w:val="007E229D"/>
    <w:rsid w:val="007E3129"/>
    <w:rsid w:val="007E5699"/>
    <w:rsid w:val="007E5C28"/>
    <w:rsid w:val="007E6CEF"/>
    <w:rsid w:val="007F2465"/>
    <w:rsid w:val="007F36DE"/>
    <w:rsid w:val="007F41BF"/>
    <w:rsid w:val="007F6794"/>
    <w:rsid w:val="008014CA"/>
    <w:rsid w:val="00801BB6"/>
    <w:rsid w:val="00801D7B"/>
    <w:rsid w:val="0080207F"/>
    <w:rsid w:val="00803939"/>
    <w:rsid w:val="008039BC"/>
    <w:rsid w:val="008050BE"/>
    <w:rsid w:val="00805EE1"/>
    <w:rsid w:val="00806F31"/>
    <w:rsid w:val="008103C1"/>
    <w:rsid w:val="00812ECE"/>
    <w:rsid w:val="008146DE"/>
    <w:rsid w:val="008202F1"/>
    <w:rsid w:val="00822D81"/>
    <w:rsid w:val="00823835"/>
    <w:rsid w:val="008264C8"/>
    <w:rsid w:val="0082703B"/>
    <w:rsid w:val="00836808"/>
    <w:rsid w:val="00837987"/>
    <w:rsid w:val="0084023B"/>
    <w:rsid w:val="0084215E"/>
    <w:rsid w:val="00842998"/>
    <w:rsid w:val="00844B86"/>
    <w:rsid w:val="00846E2E"/>
    <w:rsid w:val="00850987"/>
    <w:rsid w:val="00850D76"/>
    <w:rsid w:val="00856B23"/>
    <w:rsid w:val="008646E5"/>
    <w:rsid w:val="00866DEC"/>
    <w:rsid w:val="008674F6"/>
    <w:rsid w:val="008704F0"/>
    <w:rsid w:val="00876C23"/>
    <w:rsid w:val="008816F3"/>
    <w:rsid w:val="00882203"/>
    <w:rsid w:val="00886D64"/>
    <w:rsid w:val="008870A6"/>
    <w:rsid w:val="00890BC3"/>
    <w:rsid w:val="00892066"/>
    <w:rsid w:val="00896D08"/>
    <w:rsid w:val="00897671"/>
    <w:rsid w:val="008A3F1F"/>
    <w:rsid w:val="008A4A3B"/>
    <w:rsid w:val="008A614A"/>
    <w:rsid w:val="008A693B"/>
    <w:rsid w:val="008A77A6"/>
    <w:rsid w:val="008B2E77"/>
    <w:rsid w:val="008B526E"/>
    <w:rsid w:val="008D1B90"/>
    <w:rsid w:val="008D2740"/>
    <w:rsid w:val="008D2EF8"/>
    <w:rsid w:val="008D471D"/>
    <w:rsid w:val="008D5B25"/>
    <w:rsid w:val="008D6B07"/>
    <w:rsid w:val="008E290B"/>
    <w:rsid w:val="008E3810"/>
    <w:rsid w:val="008E75E9"/>
    <w:rsid w:val="008F3A10"/>
    <w:rsid w:val="008F753F"/>
    <w:rsid w:val="0090069D"/>
    <w:rsid w:val="00900A4A"/>
    <w:rsid w:val="00902154"/>
    <w:rsid w:val="00904AE1"/>
    <w:rsid w:val="00904EAF"/>
    <w:rsid w:val="009060B7"/>
    <w:rsid w:val="00911E6B"/>
    <w:rsid w:val="00912514"/>
    <w:rsid w:val="009126C8"/>
    <w:rsid w:val="0091412D"/>
    <w:rsid w:val="00927B4D"/>
    <w:rsid w:val="0093085B"/>
    <w:rsid w:val="009310BC"/>
    <w:rsid w:val="00931644"/>
    <w:rsid w:val="0093282B"/>
    <w:rsid w:val="00936332"/>
    <w:rsid w:val="00937C32"/>
    <w:rsid w:val="009419C5"/>
    <w:rsid w:val="00942AF7"/>
    <w:rsid w:val="009431E0"/>
    <w:rsid w:val="00944672"/>
    <w:rsid w:val="009474D2"/>
    <w:rsid w:val="00954077"/>
    <w:rsid w:val="00956E25"/>
    <w:rsid w:val="009612C3"/>
    <w:rsid w:val="00962009"/>
    <w:rsid w:val="009624D7"/>
    <w:rsid w:val="00966268"/>
    <w:rsid w:val="00967036"/>
    <w:rsid w:val="00967069"/>
    <w:rsid w:val="00967BA0"/>
    <w:rsid w:val="00967D3E"/>
    <w:rsid w:val="00971415"/>
    <w:rsid w:val="009721C6"/>
    <w:rsid w:val="00972A73"/>
    <w:rsid w:val="00973D87"/>
    <w:rsid w:val="00976517"/>
    <w:rsid w:val="00976C8D"/>
    <w:rsid w:val="00981CC8"/>
    <w:rsid w:val="00982992"/>
    <w:rsid w:val="00983BDF"/>
    <w:rsid w:val="00983CC4"/>
    <w:rsid w:val="009905B5"/>
    <w:rsid w:val="00990C36"/>
    <w:rsid w:val="00991047"/>
    <w:rsid w:val="00992BFF"/>
    <w:rsid w:val="00992DE2"/>
    <w:rsid w:val="0099414C"/>
    <w:rsid w:val="0099621D"/>
    <w:rsid w:val="009A1697"/>
    <w:rsid w:val="009A2E70"/>
    <w:rsid w:val="009B1133"/>
    <w:rsid w:val="009B2EEB"/>
    <w:rsid w:val="009B4986"/>
    <w:rsid w:val="009B6499"/>
    <w:rsid w:val="009C2613"/>
    <w:rsid w:val="009C4778"/>
    <w:rsid w:val="009C70B0"/>
    <w:rsid w:val="009D0409"/>
    <w:rsid w:val="009D1157"/>
    <w:rsid w:val="009D24AE"/>
    <w:rsid w:val="009D2B38"/>
    <w:rsid w:val="009D5312"/>
    <w:rsid w:val="009E47E0"/>
    <w:rsid w:val="009F035E"/>
    <w:rsid w:val="009F0F6A"/>
    <w:rsid w:val="009F1E6B"/>
    <w:rsid w:val="009F5333"/>
    <w:rsid w:val="00A00CCC"/>
    <w:rsid w:val="00A05113"/>
    <w:rsid w:val="00A13170"/>
    <w:rsid w:val="00A16984"/>
    <w:rsid w:val="00A17B3D"/>
    <w:rsid w:val="00A277FF"/>
    <w:rsid w:val="00A36150"/>
    <w:rsid w:val="00A37C7C"/>
    <w:rsid w:val="00A40635"/>
    <w:rsid w:val="00A40B34"/>
    <w:rsid w:val="00A45529"/>
    <w:rsid w:val="00A514ED"/>
    <w:rsid w:val="00A51B02"/>
    <w:rsid w:val="00A53199"/>
    <w:rsid w:val="00A547F2"/>
    <w:rsid w:val="00A559B2"/>
    <w:rsid w:val="00A564FB"/>
    <w:rsid w:val="00A60779"/>
    <w:rsid w:val="00A63C78"/>
    <w:rsid w:val="00A63E13"/>
    <w:rsid w:val="00A6415F"/>
    <w:rsid w:val="00A64852"/>
    <w:rsid w:val="00A64F89"/>
    <w:rsid w:val="00A65179"/>
    <w:rsid w:val="00A71699"/>
    <w:rsid w:val="00A73F02"/>
    <w:rsid w:val="00A7657E"/>
    <w:rsid w:val="00A82630"/>
    <w:rsid w:val="00A86FE9"/>
    <w:rsid w:val="00A90640"/>
    <w:rsid w:val="00A90683"/>
    <w:rsid w:val="00A940DC"/>
    <w:rsid w:val="00A94F09"/>
    <w:rsid w:val="00A95244"/>
    <w:rsid w:val="00A9645E"/>
    <w:rsid w:val="00AB1035"/>
    <w:rsid w:val="00AB504F"/>
    <w:rsid w:val="00AB543F"/>
    <w:rsid w:val="00AB5515"/>
    <w:rsid w:val="00AB633C"/>
    <w:rsid w:val="00AB6EFC"/>
    <w:rsid w:val="00AB6FD7"/>
    <w:rsid w:val="00AC0B65"/>
    <w:rsid w:val="00AC1BF2"/>
    <w:rsid w:val="00AC295F"/>
    <w:rsid w:val="00AD4448"/>
    <w:rsid w:val="00AE209E"/>
    <w:rsid w:val="00AE2450"/>
    <w:rsid w:val="00AE3320"/>
    <w:rsid w:val="00AE44F1"/>
    <w:rsid w:val="00AE4F3F"/>
    <w:rsid w:val="00AE5BF6"/>
    <w:rsid w:val="00AE7E70"/>
    <w:rsid w:val="00AF03FA"/>
    <w:rsid w:val="00AF1767"/>
    <w:rsid w:val="00AF414E"/>
    <w:rsid w:val="00AF7B64"/>
    <w:rsid w:val="00B0093C"/>
    <w:rsid w:val="00B00E3D"/>
    <w:rsid w:val="00B0100A"/>
    <w:rsid w:val="00B02A4C"/>
    <w:rsid w:val="00B124FE"/>
    <w:rsid w:val="00B12F62"/>
    <w:rsid w:val="00B162A9"/>
    <w:rsid w:val="00B16490"/>
    <w:rsid w:val="00B20D8B"/>
    <w:rsid w:val="00B20DC2"/>
    <w:rsid w:val="00B21364"/>
    <w:rsid w:val="00B22EE9"/>
    <w:rsid w:val="00B22F42"/>
    <w:rsid w:val="00B26E1D"/>
    <w:rsid w:val="00B305C4"/>
    <w:rsid w:val="00B318ED"/>
    <w:rsid w:val="00B33ADC"/>
    <w:rsid w:val="00B33D5D"/>
    <w:rsid w:val="00B34460"/>
    <w:rsid w:val="00B35455"/>
    <w:rsid w:val="00B37EA4"/>
    <w:rsid w:val="00B43E3E"/>
    <w:rsid w:val="00B46A40"/>
    <w:rsid w:val="00B476AF"/>
    <w:rsid w:val="00B52BD2"/>
    <w:rsid w:val="00B5395D"/>
    <w:rsid w:val="00B53EFC"/>
    <w:rsid w:val="00B5509D"/>
    <w:rsid w:val="00B6385B"/>
    <w:rsid w:val="00B64566"/>
    <w:rsid w:val="00B70D6A"/>
    <w:rsid w:val="00B716A1"/>
    <w:rsid w:val="00B72C71"/>
    <w:rsid w:val="00B73BE3"/>
    <w:rsid w:val="00B74CCF"/>
    <w:rsid w:val="00B76670"/>
    <w:rsid w:val="00B76E36"/>
    <w:rsid w:val="00B77BE8"/>
    <w:rsid w:val="00B81315"/>
    <w:rsid w:val="00B82670"/>
    <w:rsid w:val="00B85A68"/>
    <w:rsid w:val="00B92969"/>
    <w:rsid w:val="00B9735C"/>
    <w:rsid w:val="00BA198E"/>
    <w:rsid w:val="00BA3FF9"/>
    <w:rsid w:val="00BA5A5B"/>
    <w:rsid w:val="00BB320E"/>
    <w:rsid w:val="00BB5217"/>
    <w:rsid w:val="00BB6C2F"/>
    <w:rsid w:val="00BB6E02"/>
    <w:rsid w:val="00BD1590"/>
    <w:rsid w:val="00BD38B3"/>
    <w:rsid w:val="00BD3C8C"/>
    <w:rsid w:val="00BD4C6E"/>
    <w:rsid w:val="00BD51BE"/>
    <w:rsid w:val="00BD68A3"/>
    <w:rsid w:val="00BD6EC0"/>
    <w:rsid w:val="00BE29D3"/>
    <w:rsid w:val="00BE3870"/>
    <w:rsid w:val="00BE4951"/>
    <w:rsid w:val="00BE4E73"/>
    <w:rsid w:val="00BF0A65"/>
    <w:rsid w:val="00BF1A55"/>
    <w:rsid w:val="00BF37C7"/>
    <w:rsid w:val="00BF4395"/>
    <w:rsid w:val="00C02F99"/>
    <w:rsid w:val="00C03C71"/>
    <w:rsid w:val="00C05D9E"/>
    <w:rsid w:val="00C064D0"/>
    <w:rsid w:val="00C072EF"/>
    <w:rsid w:val="00C103A6"/>
    <w:rsid w:val="00C10D9D"/>
    <w:rsid w:val="00C12078"/>
    <w:rsid w:val="00C1546B"/>
    <w:rsid w:val="00C16F1E"/>
    <w:rsid w:val="00C17224"/>
    <w:rsid w:val="00C220A0"/>
    <w:rsid w:val="00C25FBE"/>
    <w:rsid w:val="00C327BF"/>
    <w:rsid w:val="00C3405F"/>
    <w:rsid w:val="00C41AB9"/>
    <w:rsid w:val="00C429EB"/>
    <w:rsid w:val="00C43A9D"/>
    <w:rsid w:val="00C44C0B"/>
    <w:rsid w:val="00C45966"/>
    <w:rsid w:val="00C50B5A"/>
    <w:rsid w:val="00C52562"/>
    <w:rsid w:val="00C56545"/>
    <w:rsid w:val="00C62A4E"/>
    <w:rsid w:val="00C64724"/>
    <w:rsid w:val="00C65A7D"/>
    <w:rsid w:val="00C66951"/>
    <w:rsid w:val="00C7347A"/>
    <w:rsid w:val="00C76563"/>
    <w:rsid w:val="00C84970"/>
    <w:rsid w:val="00C973B6"/>
    <w:rsid w:val="00CA0DF0"/>
    <w:rsid w:val="00CA111C"/>
    <w:rsid w:val="00CA609A"/>
    <w:rsid w:val="00CB090E"/>
    <w:rsid w:val="00CC0068"/>
    <w:rsid w:val="00CC4D6E"/>
    <w:rsid w:val="00CC7CED"/>
    <w:rsid w:val="00CD0C56"/>
    <w:rsid w:val="00CD2A6F"/>
    <w:rsid w:val="00CD3AB6"/>
    <w:rsid w:val="00CD4548"/>
    <w:rsid w:val="00CD55E2"/>
    <w:rsid w:val="00CD6F41"/>
    <w:rsid w:val="00CE13C4"/>
    <w:rsid w:val="00CE53C6"/>
    <w:rsid w:val="00CE7FC8"/>
    <w:rsid w:val="00CF1DBF"/>
    <w:rsid w:val="00CF2031"/>
    <w:rsid w:val="00CF44D5"/>
    <w:rsid w:val="00CF5034"/>
    <w:rsid w:val="00CF5191"/>
    <w:rsid w:val="00CF6964"/>
    <w:rsid w:val="00CF7837"/>
    <w:rsid w:val="00D026DB"/>
    <w:rsid w:val="00D0536A"/>
    <w:rsid w:val="00D061CB"/>
    <w:rsid w:val="00D0661E"/>
    <w:rsid w:val="00D123CC"/>
    <w:rsid w:val="00D133A2"/>
    <w:rsid w:val="00D141D0"/>
    <w:rsid w:val="00D1434B"/>
    <w:rsid w:val="00D150D1"/>
    <w:rsid w:val="00D17C25"/>
    <w:rsid w:val="00D227D0"/>
    <w:rsid w:val="00D24FBD"/>
    <w:rsid w:val="00D26184"/>
    <w:rsid w:val="00D2649D"/>
    <w:rsid w:val="00D27682"/>
    <w:rsid w:val="00D31642"/>
    <w:rsid w:val="00D332B5"/>
    <w:rsid w:val="00D348D8"/>
    <w:rsid w:val="00D366C5"/>
    <w:rsid w:val="00D36EBD"/>
    <w:rsid w:val="00D4281A"/>
    <w:rsid w:val="00D4511E"/>
    <w:rsid w:val="00D45F39"/>
    <w:rsid w:val="00D51AA9"/>
    <w:rsid w:val="00D55A5A"/>
    <w:rsid w:val="00D5664F"/>
    <w:rsid w:val="00D57958"/>
    <w:rsid w:val="00D603BC"/>
    <w:rsid w:val="00D615E6"/>
    <w:rsid w:val="00D61ACF"/>
    <w:rsid w:val="00D70038"/>
    <w:rsid w:val="00D70755"/>
    <w:rsid w:val="00D728E2"/>
    <w:rsid w:val="00D756F8"/>
    <w:rsid w:val="00D777E6"/>
    <w:rsid w:val="00D873C1"/>
    <w:rsid w:val="00D9155A"/>
    <w:rsid w:val="00D915DF"/>
    <w:rsid w:val="00D96DB8"/>
    <w:rsid w:val="00DA0033"/>
    <w:rsid w:val="00DA4B94"/>
    <w:rsid w:val="00DA6DB3"/>
    <w:rsid w:val="00DB0419"/>
    <w:rsid w:val="00DB0E60"/>
    <w:rsid w:val="00DB1BB2"/>
    <w:rsid w:val="00DB26B0"/>
    <w:rsid w:val="00DC078C"/>
    <w:rsid w:val="00DC3678"/>
    <w:rsid w:val="00DC62B1"/>
    <w:rsid w:val="00DD299A"/>
    <w:rsid w:val="00DD4B9C"/>
    <w:rsid w:val="00DE054D"/>
    <w:rsid w:val="00DE29AA"/>
    <w:rsid w:val="00DE7A39"/>
    <w:rsid w:val="00DF041F"/>
    <w:rsid w:val="00DF08DD"/>
    <w:rsid w:val="00DF4595"/>
    <w:rsid w:val="00DF757F"/>
    <w:rsid w:val="00E00033"/>
    <w:rsid w:val="00E01BA0"/>
    <w:rsid w:val="00E024F6"/>
    <w:rsid w:val="00E0261F"/>
    <w:rsid w:val="00E0418E"/>
    <w:rsid w:val="00E10BB7"/>
    <w:rsid w:val="00E1269E"/>
    <w:rsid w:val="00E134D4"/>
    <w:rsid w:val="00E15A16"/>
    <w:rsid w:val="00E17610"/>
    <w:rsid w:val="00E212F5"/>
    <w:rsid w:val="00E220C2"/>
    <w:rsid w:val="00E30DB6"/>
    <w:rsid w:val="00E312A9"/>
    <w:rsid w:val="00E31593"/>
    <w:rsid w:val="00E33045"/>
    <w:rsid w:val="00E34795"/>
    <w:rsid w:val="00E369DF"/>
    <w:rsid w:val="00E403D8"/>
    <w:rsid w:val="00E40960"/>
    <w:rsid w:val="00E4128C"/>
    <w:rsid w:val="00E42986"/>
    <w:rsid w:val="00E43EA1"/>
    <w:rsid w:val="00E50CEF"/>
    <w:rsid w:val="00E540A8"/>
    <w:rsid w:val="00E54170"/>
    <w:rsid w:val="00E550C7"/>
    <w:rsid w:val="00E5635D"/>
    <w:rsid w:val="00E70647"/>
    <w:rsid w:val="00E7078B"/>
    <w:rsid w:val="00E70F73"/>
    <w:rsid w:val="00E719AE"/>
    <w:rsid w:val="00E741D6"/>
    <w:rsid w:val="00E77B9E"/>
    <w:rsid w:val="00E77DB5"/>
    <w:rsid w:val="00E81C29"/>
    <w:rsid w:val="00E8430C"/>
    <w:rsid w:val="00E870C1"/>
    <w:rsid w:val="00E92511"/>
    <w:rsid w:val="00E95295"/>
    <w:rsid w:val="00E958C0"/>
    <w:rsid w:val="00E9710B"/>
    <w:rsid w:val="00EA2FC0"/>
    <w:rsid w:val="00EA3678"/>
    <w:rsid w:val="00EA3A7C"/>
    <w:rsid w:val="00EA5A3F"/>
    <w:rsid w:val="00EB2472"/>
    <w:rsid w:val="00EB5A1D"/>
    <w:rsid w:val="00EB7B45"/>
    <w:rsid w:val="00EC336E"/>
    <w:rsid w:val="00EC4EA0"/>
    <w:rsid w:val="00EC5C2B"/>
    <w:rsid w:val="00EC7E06"/>
    <w:rsid w:val="00ED3FA7"/>
    <w:rsid w:val="00ED4C9C"/>
    <w:rsid w:val="00ED523A"/>
    <w:rsid w:val="00EE0608"/>
    <w:rsid w:val="00EE1398"/>
    <w:rsid w:val="00EE4B60"/>
    <w:rsid w:val="00EE7CF1"/>
    <w:rsid w:val="00EF5330"/>
    <w:rsid w:val="00F004CD"/>
    <w:rsid w:val="00F00626"/>
    <w:rsid w:val="00F025EF"/>
    <w:rsid w:val="00F02FB3"/>
    <w:rsid w:val="00F1114B"/>
    <w:rsid w:val="00F123BE"/>
    <w:rsid w:val="00F12DB9"/>
    <w:rsid w:val="00F14BB9"/>
    <w:rsid w:val="00F17565"/>
    <w:rsid w:val="00F2755F"/>
    <w:rsid w:val="00F3048F"/>
    <w:rsid w:val="00F311E1"/>
    <w:rsid w:val="00F31946"/>
    <w:rsid w:val="00F3698B"/>
    <w:rsid w:val="00F372AD"/>
    <w:rsid w:val="00F47D6A"/>
    <w:rsid w:val="00F5166B"/>
    <w:rsid w:val="00F52EF1"/>
    <w:rsid w:val="00F54129"/>
    <w:rsid w:val="00F54A3D"/>
    <w:rsid w:val="00F54F4A"/>
    <w:rsid w:val="00F55274"/>
    <w:rsid w:val="00F55B5C"/>
    <w:rsid w:val="00F60213"/>
    <w:rsid w:val="00F640B9"/>
    <w:rsid w:val="00F6632E"/>
    <w:rsid w:val="00F71E32"/>
    <w:rsid w:val="00F73E3C"/>
    <w:rsid w:val="00F74B4A"/>
    <w:rsid w:val="00F7503E"/>
    <w:rsid w:val="00F75132"/>
    <w:rsid w:val="00F75B36"/>
    <w:rsid w:val="00F7711B"/>
    <w:rsid w:val="00F80470"/>
    <w:rsid w:val="00F8288F"/>
    <w:rsid w:val="00F837CF"/>
    <w:rsid w:val="00F83E86"/>
    <w:rsid w:val="00F845A7"/>
    <w:rsid w:val="00F85ADF"/>
    <w:rsid w:val="00F869E8"/>
    <w:rsid w:val="00F878F2"/>
    <w:rsid w:val="00F95A49"/>
    <w:rsid w:val="00FA08BE"/>
    <w:rsid w:val="00FA1880"/>
    <w:rsid w:val="00FA70DD"/>
    <w:rsid w:val="00FA71C3"/>
    <w:rsid w:val="00FB00DF"/>
    <w:rsid w:val="00FB0DDC"/>
    <w:rsid w:val="00FB4EBB"/>
    <w:rsid w:val="00FB6374"/>
    <w:rsid w:val="00FB73D1"/>
    <w:rsid w:val="00FC097F"/>
    <w:rsid w:val="00FC2F9C"/>
    <w:rsid w:val="00FC3D57"/>
    <w:rsid w:val="00FC4D05"/>
    <w:rsid w:val="00FC57CE"/>
    <w:rsid w:val="00FC5DF9"/>
    <w:rsid w:val="00FC66F4"/>
    <w:rsid w:val="00FC705E"/>
    <w:rsid w:val="00FC71A5"/>
    <w:rsid w:val="00FC73C0"/>
    <w:rsid w:val="00FD0EC5"/>
    <w:rsid w:val="00FD2E4F"/>
    <w:rsid w:val="00FD3495"/>
    <w:rsid w:val="00FD6731"/>
    <w:rsid w:val="00FD7E5A"/>
    <w:rsid w:val="00FE1C6F"/>
    <w:rsid w:val="00FE34E2"/>
    <w:rsid w:val="00FE37AE"/>
    <w:rsid w:val="00FE4A69"/>
    <w:rsid w:val="00FF00CA"/>
    <w:rsid w:val="00FF244D"/>
    <w:rsid w:val="00FF32CD"/>
    <w:rsid w:val="00FF485A"/>
    <w:rsid w:val="00FF6371"/>
    <w:rsid w:val="00FF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4EC30"/>
  <w15:chartTrackingRefBased/>
  <w15:docId w15:val="{077A3BDF-BD9D-4ADC-B414-5EB9560B4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B44"/>
  </w:style>
  <w:style w:type="paragraph" w:styleId="Heading1">
    <w:name w:val="heading 1"/>
    <w:basedOn w:val="Normal"/>
    <w:next w:val="Normal"/>
    <w:link w:val="Heading1Char"/>
    <w:uiPriority w:val="9"/>
    <w:qFormat/>
    <w:rsid w:val="00400B44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21730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0B4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0B4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3234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0B4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32348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0B4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3234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0B4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21730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0B4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21730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0B4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21730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0B4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21730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0B44"/>
    <w:rPr>
      <w:rFonts w:asciiTheme="majorHAnsi" w:eastAsiaTheme="majorEastAsia" w:hAnsiTheme="majorHAnsi" w:cstheme="majorBidi"/>
      <w:color w:val="021730" w:themeColor="accent1" w:themeShade="80"/>
      <w:sz w:val="36"/>
      <w:szCs w:val="36"/>
    </w:rPr>
  </w:style>
  <w:style w:type="paragraph" w:customStyle="1" w:styleId="Body">
    <w:name w:val="Body"/>
    <w:rsid w:val="00E403D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en-AU"/>
    </w:rPr>
  </w:style>
  <w:style w:type="table" w:styleId="TableGrid">
    <w:name w:val="Table Grid"/>
    <w:basedOn w:val="TableNormal"/>
    <w:uiPriority w:val="39"/>
    <w:rsid w:val="00E403D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E403D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403D8"/>
    <w:rPr>
      <w:rFonts w:ascii="Times New Roman" w:eastAsia="Arial Unicode MS" w:hAnsi="Times New Roman" w:cs="Times New Roman"/>
      <w:sz w:val="20"/>
      <w:szCs w:val="20"/>
      <w:bdr w:val="nil"/>
    </w:rPr>
  </w:style>
  <w:style w:type="character" w:styleId="FootnoteReference">
    <w:name w:val="footnote reference"/>
    <w:basedOn w:val="DefaultParagraphFont"/>
    <w:uiPriority w:val="99"/>
    <w:unhideWhenUsed/>
    <w:rsid w:val="00E403D8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400B44"/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00B44"/>
    <w:rPr>
      <w:rFonts w:asciiTheme="majorHAnsi" w:eastAsiaTheme="majorEastAsia" w:hAnsiTheme="majorHAnsi" w:cstheme="majorBidi"/>
      <w:color w:val="032348" w:themeColor="accent1" w:themeShade="BF"/>
      <w:sz w:val="28"/>
      <w:szCs w:val="28"/>
    </w:rPr>
  </w:style>
  <w:style w:type="paragraph" w:styleId="NoSpacing">
    <w:name w:val="No Spacing"/>
    <w:uiPriority w:val="1"/>
    <w:qFormat/>
    <w:rsid w:val="00400B4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33D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1B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1B61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Footer">
    <w:name w:val="footer"/>
    <w:basedOn w:val="Normal"/>
    <w:link w:val="FooterChar"/>
    <w:uiPriority w:val="99"/>
    <w:unhideWhenUsed/>
    <w:rsid w:val="00101B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1B61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47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778"/>
    <w:rPr>
      <w:rFonts w:ascii="Segoe UI" w:eastAsia="Arial Unicode MS" w:hAnsi="Segoe UI" w:cs="Segoe UI"/>
      <w:sz w:val="18"/>
      <w:szCs w:val="18"/>
      <w:bdr w:val="ni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0B44"/>
    <w:rPr>
      <w:rFonts w:asciiTheme="majorHAnsi" w:eastAsiaTheme="majorEastAsia" w:hAnsiTheme="majorHAnsi" w:cstheme="majorBidi"/>
      <w:color w:val="032348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0B44"/>
    <w:rPr>
      <w:rFonts w:asciiTheme="majorHAnsi" w:eastAsiaTheme="majorEastAsia" w:hAnsiTheme="majorHAnsi" w:cstheme="majorBidi"/>
      <w:caps/>
      <w:color w:val="03234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0B44"/>
    <w:rPr>
      <w:rFonts w:asciiTheme="majorHAnsi" w:eastAsiaTheme="majorEastAsia" w:hAnsiTheme="majorHAnsi" w:cstheme="majorBidi"/>
      <w:i/>
      <w:iCs/>
      <w:caps/>
      <w:color w:val="021730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0B44"/>
    <w:rPr>
      <w:rFonts w:asciiTheme="majorHAnsi" w:eastAsiaTheme="majorEastAsia" w:hAnsiTheme="majorHAnsi" w:cstheme="majorBidi"/>
      <w:b/>
      <w:bCs/>
      <w:color w:val="021730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0B44"/>
    <w:rPr>
      <w:rFonts w:asciiTheme="majorHAnsi" w:eastAsiaTheme="majorEastAsia" w:hAnsiTheme="majorHAnsi" w:cstheme="majorBidi"/>
      <w:b/>
      <w:bCs/>
      <w:i/>
      <w:iCs/>
      <w:color w:val="021730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0B44"/>
    <w:rPr>
      <w:rFonts w:asciiTheme="majorHAnsi" w:eastAsiaTheme="majorEastAsia" w:hAnsiTheme="majorHAnsi" w:cstheme="majorBidi"/>
      <w:i/>
      <w:iCs/>
      <w:color w:val="021730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00B44"/>
    <w:pPr>
      <w:spacing w:line="240" w:lineRule="auto"/>
    </w:pPr>
    <w:rPr>
      <w:b/>
      <w:bCs/>
      <w:smallCaps/>
      <w:color w:val="146194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400B44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46194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00B44"/>
    <w:rPr>
      <w:rFonts w:asciiTheme="majorHAnsi" w:eastAsiaTheme="majorEastAsia" w:hAnsiTheme="majorHAnsi" w:cstheme="majorBidi"/>
      <w:caps/>
      <w:color w:val="146194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0B44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052F61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0B44"/>
    <w:rPr>
      <w:rFonts w:asciiTheme="majorHAnsi" w:eastAsiaTheme="majorEastAsia" w:hAnsiTheme="majorHAnsi" w:cstheme="majorBidi"/>
      <w:color w:val="052F61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400B44"/>
    <w:rPr>
      <w:b/>
      <w:bCs/>
    </w:rPr>
  </w:style>
  <w:style w:type="character" w:styleId="Emphasis">
    <w:name w:val="Emphasis"/>
    <w:basedOn w:val="DefaultParagraphFont"/>
    <w:uiPriority w:val="20"/>
    <w:qFormat/>
    <w:rsid w:val="00400B44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400B44"/>
    <w:pPr>
      <w:spacing w:before="120" w:after="120"/>
      <w:ind w:left="720"/>
    </w:pPr>
    <w:rPr>
      <w:color w:val="146194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00B44"/>
    <w:rPr>
      <w:color w:val="146194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0B44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46194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0B44"/>
    <w:rPr>
      <w:rFonts w:asciiTheme="majorHAnsi" w:eastAsiaTheme="majorEastAsia" w:hAnsiTheme="majorHAnsi" w:cstheme="majorBidi"/>
      <w:color w:val="146194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400B44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00B4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00B44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400B44"/>
    <w:rPr>
      <w:b/>
      <w:bCs/>
      <w:smallCaps/>
      <w:color w:val="146194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400B44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00B4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fontTable" Target="fontTable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facs365-my.sharepoint.com/personal/ken_ly_adc_nsw_gov_au/Documents/Desktop/Ken%20Work%20Files/06.%20Senior%20Analyst/04.%20Assignments/4.0.%20Resolve%20Application%20-%20Quarterly%20Reports/Amendment%20-%20Report/ADC%20data%20July%20-%20Sept%202023.XL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\\bizlink\dhs\FACS\NON-FACS\MCKENZIK.BIZLINK\Desktop\ADC%20data%20July%20-%20Sept%202023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\\bizlink\dhs\FACS\NON-FACS\MCKENZIK.BIZLINK\Desktop\ADC%20data%20July%20-%20Sept%202023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\\bizlink\dhs\FACS\NON-FACS\MCKENZIK.BIZLINK\Desktop\ADC%20data%20July%20-%20Sept%202023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\\bizlink\dhs\FACS\NON-FACS\MCKENZIK.BIZLINK\Desktop\ADC%20data%20July%20-%20Sept%202023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bizlink\dhs\FACS\NON-FACS\MCKENZIK.BIZLINK\Desktop\ADC%20data%20July%20-%20Sept%202023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bizlink\dhs\FACS\NON-FACS\MCKENZIK.BIZLINK\Desktop\ADC%20data%20July%20-%20Sept%202023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bizlink\dhs\FACS\NON-FACS\MCKENZIK.BIZLINK\Desktop\ADC%20data%20July%20-%20Sept%202023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bizlink\dhs\FACS\NON-FACS\MCKENZIK.BIZLINK\Desktop\ADC%20data%20July%20-%20Sept%202023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bizlink\dhs\FACS\NON-FACS\MCKENZIK.BIZLINK\Desktop\ADC%20data%20July%20-%20Sept%202023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\\bizlink\dhs\FACS\NON-FACS\MCKENZIK.BIZLINK\Desktop\ADC%20data%20July%20-%20Sept%202023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\\bizlink\dhs\FACS\NON-FACS\MCKENZIK.BIZLINK\Desktop\ADC%20data%20July%20-%20Sept%202023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\\bizlink\dhs\FACS\NON-FACS\MCKENZIK.BIZLINK\Desktop\ADC%20data%20July%20-%20Sept%202023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bg2">
                <a:lumMod val="50000"/>
              </a:schemeClr>
            </a:soli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'[ADC data July - Sept 2023.XLSX]Calls'!$J$5:$Q$5</c:f>
              <c:strCache>
                <c:ptCount val="8"/>
                <c:pt idx="0">
                  <c:v>Oct-Dec 2021</c:v>
                </c:pt>
                <c:pt idx="1">
                  <c:v>Jan-Mar 2022</c:v>
                </c:pt>
                <c:pt idx="2">
                  <c:v>Apr-June 2022</c:v>
                </c:pt>
                <c:pt idx="3">
                  <c:v>July-Sept 2022</c:v>
                </c:pt>
                <c:pt idx="4">
                  <c:v>Oct-Dec 2022</c:v>
                </c:pt>
                <c:pt idx="5">
                  <c:v>Jan-Mar 2023</c:v>
                </c:pt>
                <c:pt idx="6">
                  <c:v>Apr-June 2023</c:v>
                </c:pt>
                <c:pt idx="7">
                  <c:v>July-Sept 2023</c:v>
                </c:pt>
              </c:strCache>
            </c:strRef>
          </c:cat>
          <c:val>
            <c:numRef>
              <c:f>'[ADC data July - Sept 2023.XLSX]Calls'!$J$6:$Q$6</c:f>
              <c:numCache>
                <c:formatCode>General</c:formatCode>
                <c:ptCount val="8"/>
                <c:pt idx="0">
                  <c:v>2786</c:v>
                </c:pt>
                <c:pt idx="1">
                  <c:v>3894</c:v>
                </c:pt>
                <c:pt idx="2">
                  <c:v>2930</c:v>
                </c:pt>
                <c:pt idx="3">
                  <c:v>3547</c:v>
                </c:pt>
                <c:pt idx="4">
                  <c:v>3253</c:v>
                </c:pt>
                <c:pt idx="5">
                  <c:v>3583</c:v>
                </c:pt>
                <c:pt idx="6">
                  <c:v>3642</c:v>
                </c:pt>
                <c:pt idx="7">
                  <c:v>4553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4F5-46B2-AEF5-92F4197BE76D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663934991"/>
        <c:axId val="663919183"/>
      </c:barChart>
      <c:catAx>
        <c:axId val="6639349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663919183"/>
        <c:crosses val="autoZero"/>
        <c:auto val="1"/>
        <c:lblAlgn val="ctr"/>
        <c:lblOffset val="100"/>
        <c:noMultiLvlLbl val="0"/>
      </c:catAx>
      <c:valAx>
        <c:axId val="66391918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66393499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'PSOA relationship'!$A$25:$A$38</c:f>
              <c:strCache>
                <c:ptCount val="14"/>
                <c:pt idx="0">
                  <c:v>Parent</c:v>
                </c:pt>
                <c:pt idx="1">
                  <c:v>Former paid staff</c:v>
                </c:pt>
                <c:pt idx="2">
                  <c:v>Other community member</c:v>
                </c:pt>
                <c:pt idx="3">
                  <c:v>Ex-spouse/partner</c:v>
                </c:pt>
                <c:pt idx="4">
                  <c:v>Unknown/not disclosed</c:v>
                </c:pt>
                <c:pt idx="5">
                  <c:v>Sibling</c:v>
                </c:pt>
                <c:pt idx="6">
                  <c:v>Neighbour</c:v>
                </c:pt>
                <c:pt idx="7">
                  <c:v>Grandchild</c:v>
                </c:pt>
                <c:pt idx="8">
                  <c:v>Other relative</c:v>
                </c:pt>
                <c:pt idx="9">
                  <c:v>Other</c:v>
                </c:pt>
                <c:pt idx="10">
                  <c:v>Paid staff</c:v>
                </c:pt>
                <c:pt idx="11">
                  <c:v>Friend</c:v>
                </c:pt>
                <c:pt idx="12">
                  <c:v>Spouse/partner</c:v>
                </c:pt>
                <c:pt idx="13">
                  <c:v>Child</c:v>
                </c:pt>
              </c:strCache>
            </c:strRef>
          </c:cat>
          <c:val>
            <c:numRef>
              <c:f>'PSOA relationship'!$B$25:$B$38</c:f>
              <c:numCache>
                <c:formatCode>[$-1010409]General</c:formatCode>
                <c:ptCount val="14"/>
                <c:pt idx="0">
                  <c:v>2</c:v>
                </c:pt>
                <c:pt idx="1">
                  <c:v>6</c:v>
                </c:pt>
                <c:pt idx="2">
                  <c:v>14</c:v>
                </c:pt>
                <c:pt idx="3">
                  <c:v>17</c:v>
                </c:pt>
                <c:pt idx="4">
                  <c:v>20</c:v>
                </c:pt>
                <c:pt idx="5">
                  <c:v>29</c:v>
                </c:pt>
                <c:pt idx="6">
                  <c:v>39</c:v>
                </c:pt>
                <c:pt idx="7">
                  <c:v>39</c:v>
                </c:pt>
                <c:pt idx="8">
                  <c:v>40</c:v>
                </c:pt>
                <c:pt idx="9">
                  <c:v>45</c:v>
                </c:pt>
                <c:pt idx="10">
                  <c:v>61</c:v>
                </c:pt>
                <c:pt idx="11">
                  <c:v>71</c:v>
                </c:pt>
                <c:pt idx="12">
                  <c:v>114</c:v>
                </c:pt>
                <c:pt idx="13">
                  <c:v>528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99A-4825-982C-C1E06E6326AF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564703496"/>
        <c:axId val="564659160"/>
      </c:barChart>
      <c:catAx>
        <c:axId val="5647034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64659160"/>
        <c:crosses val="autoZero"/>
        <c:auto val="1"/>
        <c:lblAlgn val="ctr"/>
        <c:lblOffset val="100"/>
        <c:noMultiLvlLbl val="0"/>
      </c:catAx>
      <c:valAx>
        <c:axId val="56465916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1010409]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647034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'PSOA relationship'!$A$5:$A$20</c:f>
              <c:strCache>
                <c:ptCount val="16"/>
                <c:pt idx="0">
                  <c:v>Grandchild</c:v>
                </c:pt>
                <c:pt idx="1">
                  <c:v>Ex-foster carer</c:v>
                </c:pt>
                <c:pt idx="2">
                  <c:v>Former paid staff</c:v>
                </c:pt>
                <c:pt idx="3">
                  <c:v>Other community member</c:v>
                </c:pt>
                <c:pt idx="4">
                  <c:v>Grandparent</c:v>
                </c:pt>
                <c:pt idx="5">
                  <c:v>Other relative</c:v>
                </c:pt>
                <c:pt idx="6">
                  <c:v>Unknown/not disclosed</c:v>
                </c:pt>
                <c:pt idx="7">
                  <c:v>Ex-spouse/partner</c:v>
                </c:pt>
                <c:pt idx="8">
                  <c:v>Friend</c:v>
                </c:pt>
                <c:pt idx="9">
                  <c:v>Neighbour</c:v>
                </c:pt>
                <c:pt idx="10">
                  <c:v>Other </c:v>
                </c:pt>
                <c:pt idx="11">
                  <c:v>Child</c:v>
                </c:pt>
                <c:pt idx="12">
                  <c:v>Sibling</c:v>
                </c:pt>
                <c:pt idx="13">
                  <c:v>Paid staff</c:v>
                </c:pt>
                <c:pt idx="14">
                  <c:v>Spouse/partner</c:v>
                </c:pt>
                <c:pt idx="15">
                  <c:v>Parent</c:v>
                </c:pt>
              </c:strCache>
            </c:strRef>
          </c:cat>
          <c:val>
            <c:numRef>
              <c:f>'PSOA relationship'!$B$5:$B$20</c:f>
              <c:numCache>
                <c:formatCode>General</c:formatCode>
                <c:ptCount val="16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4</c:v>
                </c:pt>
                <c:pt idx="5">
                  <c:v>6</c:v>
                </c:pt>
                <c:pt idx="6">
                  <c:v>8</c:v>
                </c:pt>
                <c:pt idx="7">
                  <c:v>8</c:v>
                </c:pt>
                <c:pt idx="8">
                  <c:v>17</c:v>
                </c:pt>
                <c:pt idx="9">
                  <c:v>18</c:v>
                </c:pt>
                <c:pt idx="10">
                  <c:v>19</c:v>
                </c:pt>
                <c:pt idx="11">
                  <c:v>27</c:v>
                </c:pt>
                <c:pt idx="12">
                  <c:v>28</c:v>
                </c:pt>
                <c:pt idx="13">
                  <c:v>38</c:v>
                </c:pt>
                <c:pt idx="14">
                  <c:v>44</c:v>
                </c:pt>
                <c:pt idx="15">
                  <c:v>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276-42C1-B9A4-EE72AF6EE69F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685124936"/>
        <c:axId val="685120672"/>
      </c:barChart>
      <c:catAx>
        <c:axId val="6851249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685120672"/>
        <c:crosses val="autoZero"/>
        <c:auto val="1"/>
        <c:lblAlgn val="ctr"/>
        <c:lblOffset val="100"/>
        <c:noMultiLvlLbl val="0"/>
      </c:catAx>
      <c:valAx>
        <c:axId val="68512067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6851249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'Type of abuse'!$A$17:$A$22</c:f>
              <c:strCache>
                <c:ptCount val="6"/>
                <c:pt idx="0">
                  <c:v>Psychological abuse</c:v>
                </c:pt>
                <c:pt idx="1">
                  <c:v>Financial abuse</c:v>
                </c:pt>
                <c:pt idx="2">
                  <c:v>Neglect</c:v>
                </c:pt>
                <c:pt idx="3">
                  <c:v>Physical abuse</c:v>
                </c:pt>
                <c:pt idx="4">
                  <c:v>Other</c:v>
                </c:pt>
                <c:pt idx="5">
                  <c:v>Sexual abuse</c:v>
                </c:pt>
              </c:strCache>
            </c:strRef>
          </c:cat>
          <c:val>
            <c:numRef>
              <c:f>'Type of abuse'!$B$17:$B$22</c:f>
              <c:numCache>
                <c:formatCode>General</c:formatCode>
                <c:ptCount val="6"/>
                <c:pt idx="0">
                  <c:v>599</c:v>
                </c:pt>
                <c:pt idx="1">
                  <c:v>560</c:v>
                </c:pt>
                <c:pt idx="2">
                  <c:v>361</c:v>
                </c:pt>
                <c:pt idx="3">
                  <c:v>104</c:v>
                </c:pt>
                <c:pt idx="4">
                  <c:v>22</c:v>
                </c:pt>
                <c:pt idx="5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5D5-48D2-9532-160DDD2CFF03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680631560"/>
        <c:axId val="680631888"/>
      </c:barChart>
      <c:catAx>
        <c:axId val="68063156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680631888"/>
        <c:crosses val="autoZero"/>
        <c:auto val="1"/>
        <c:lblAlgn val="ctr"/>
        <c:lblOffset val="100"/>
        <c:noMultiLvlLbl val="0"/>
      </c:catAx>
      <c:valAx>
        <c:axId val="68063188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6806315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'Type of abuse'!$A$6:$A$10</c:f>
              <c:strCache>
                <c:ptCount val="5"/>
                <c:pt idx="0">
                  <c:v>Psychological abuse</c:v>
                </c:pt>
                <c:pt idx="1">
                  <c:v>Neglect</c:v>
                </c:pt>
                <c:pt idx="2">
                  <c:v>Financial abuse</c:v>
                </c:pt>
                <c:pt idx="3">
                  <c:v>Physical abuse</c:v>
                </c:pt>
                <c:pt idx="4">
                  <c:v>Sexual abuse</c:v>
                </c:pt>
              </c:strCache>
            </c:strRef>
          </c:cat>
          <c:val>
            <c:numRef>
              <c:f>'Type of abuse'!$B$6:$B$10</c:f>
              <c:numCache>
                <c:formatCode>General</c:formatCode>
                <c:ptCount val="5"/>
                <c:pt idx="0">
                  <c:v>222</c:v>
                </c:pt>
                <c:pt idx="1">
                  <c:v>133</c:v>
                </c:pt>
                <c:pt idx="2">
                  <c:v>105</c:v>
                </c:pt>
                <c:pt idx="3">
                  <c:v>66</c:v>
                </c:pt>
                <c:pt idx="4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D3A-4801-89F4-FFCE34259DB1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684336368"/>
        <c:axId val="684344568"/>
      </c:barChart>
      <c:catAx>
        <c:axId val="6843363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684344568"/>
        <c:crosses val="autoZero"/>
        <c:auto val="1"/>
        <c:lblAlgn val="ctr"/>
        <c:lblOffset val="100"/>
        <c:noMultiLvlLbl val="0"/>
      </c:catAx>
      <c:valAx>
        <c:axId val="68434456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6843363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'Number of cases'!$A$11</c:f>
              <c:strCache>
                <c:ptCount val="1"/>
                <c:pt idx="0">
                  <c:v>Enquiries</c:v>
                </c:pt>
              </c:strCache>
            </c:strRef>
          </c:tx>
          <c:spPr>
            <a:solidFill>
              <a:schemeClr val="accent2">
                <a:shade val="76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'Number of cases'!$B$10:$R$10</c:f>
              <c:strCache>
                <c:ptCount val="8"/>
                <c:pt idx="0">
                  <c:v>Oct-Dec 2021</c:v>
                </c:pt>
                <c:pt idx="1">
                  <c:v>Jan-Mar 2022</c:v>
                </c:pt>
                <c:pt idx="2">
                  <c:v>Apr-June 2022</c:v>
                </c:pt>
                <c:pt idx="3">
                  <c:v>July-Sept 2022</c:v>
                </c:pt>
                <c:pt idx="4">
                  <c:v>Oct-Dec 2022</c:v>
                </c:pt>
                <c:pt idx="5">
                  <c:v>Jan-Mar 2023</c:v>
                </c:pt>
                <c:pt idx="6">
                  <c:v>Apr-June 2023</c:v>
                </c:pt>
                <c:pt idx="7">
                  <c:v>July-Sept 2023</c:v>
                </c:pt>
              </c:strCache>
            </c:strRef>
          </c:cat>
          <c:val>
            <c:numRef>
              <c:f>'Number of cases'!$B$11:$R$11</c:f>
              <c:numCache>
                <c:formatCode>General</c:formatCode>
                <c:ptCount val="8"/>
                <c:pt idx="0">
                  <c:v>243</c:v>
                </c:pt>
                <c:pt idx="1">
                  <c:v>362</c:v>
                </c:pt>
                <c:pt idx="2">
                  <c:v>365</c:v>
                </c:pt>
                <c:pt idx="3">
                  <c:v>358</c:v>
                </c:pt>
                <c:pt idx="4">
                  <c:v>243</c:v>
                </c:pt>
                <c:pt idx="5">
                  <c:v>237</c:v>
                </c:pt>
                <c:pt idx="6">
                  <c:v>258</c:v>
                </c:pt>
                <c:pt idx="7">
                  <c:v>283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BE7-4A9E-A3B0-F6A0A24D5E15}"/>
            </c:ext>
          </c:extLst>
        </c:ser>
        <c:ser>
          <c:idx val="1"/>
          <c:order val="1"/>
          <c:tx>
            <c:strRef>
              <c:f>'Number of cases'!$A$12</c:f>
              <c:strCache>
                <c:ptCount val="1"/>
                <c:pt idx="0">
                  <c:v>Reports</c:v>
                </c:pt>
              </c:strCache>
            </c:strRef>
          </c:tx>
          <c:spPr>
            <a:solidFill>
              <a:schemeClr val="accent2">
                <a:tint val="77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'Number of cases'!$B$10:$R$10</c:f>
              <c:strCache>
                <c:ptCount val="8"/>
                <c:pt idx="0">
                  <c:v>Oct-Dec 2021</c:v>
                </c:pt>
                <c:pt idx="1">
                  <c:v>Jan-Mar 2022</c:v>
                </c:pt>
                <c:pt idx="2">
                  <c:v>Apr-June 2022</c:v>
                </c:pt>
                <c:pt idx="3">
                  <c:v>July-Sept 2022</c:v>
                </c:pt>
                <c:pt idx="4">
                  <c:v>Oct-Dec 2022</c:v>
                </c:pt>
                <c:pt idx="5">
                  <c:v>Jan-Mar 2023</c:v>
                </c:pt>
                <c:pt idx="6">
                  <c:v>Apr-June 2023</c:v>
                </c:pt>
                <c:pt idx="7">
                  <c:v>July-Sept 2023</c:v>
                </c:pt>
              </c:strCache>
            </c:strRef>
          </c:cat>
          <c:val>
            <c:numRef>
              <c:f>'Number of cases'!$B$12:$R$12</c:f>
              <c:numCache>
                <c:formatCode>General</c:formatCode>
                <c:ptCount val="8"/>
                <c:pt idx="0">
                  <c:v>942</c:v>
                </c:pt>
                <c:pt idx="1">
                  <c:v>1111</c:v>
                </c:pt>
                <c:pt idx="2">
                  <c:v>984</c:v>
                </c:pt>
                <c:pt idx="3">
                  <c:v>1115</c:v>
                </c:pt>
                <c:pt idx="4">
                  <c:v>941</c:v>
                </c:pt>
                <c:pt idx="5">
                  <c:v>1132</c:v>
                </c:pt>
                <c:pt idx="6">
                  <c:v>1069</c:v>
                </c:pt>
                <c:pt idx="7">
                  <c:v>1339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BE7-4A9E-A3B0-F6A0A24D5E15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770025199"/>
        <c:axId val="770043503"/>
      </c:barChart>
      <c:catAx>
        <c:axId val="7700251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70043503"/>
        <c:crosses val="autoZero"/>
        <c:auto val="1"/>
        <c:lblAlgn val="ctr"/>
        <c:lblOffset val="100"/>
        <c:noMultiLvlLbl val="0"/>
      </c:catAx>
      <c:valAx>
        <c:axId val="77004350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7002519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Cohort!$A$4:$A$6</c:f>
              <c:strCache>
                <c:ptCount val="3"/>
                <c:pt idx="0">
                  <c:v>Older people</c:v>
                </c:pt>
                <c:pt idx="1">
                  <c:v>Adults with disability</c:v>
                </c:pt>
                <c:pt idx="2">
                  <c:v>Total</c:v>
                </c:pt>
              </c:strCache>
            </c:strRef>
          </c:cat>
          <c:val>
            <c:numRef>
              <c:f>Cohort!$B$4:$B$6</c:f>
              <c:numCache>
                <c:formatCode>General</c:formatCode>
                <c:ptCount val="3"/>
                <c:pt idx="0">
                  <c:v>1025</c:v>
                </c:pt>
                <c:pt idx="1">
                  <c:v>314</c:v>
                </c:pt>
                <c:pt idx="2">
                  <c:v>1339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8B8-433D-A695-6F59BF33F089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94597552"/>
        <c:axId val="394606080"/>
      </c:barChart>
      <c:catAx>
        <c:axId val="3945975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94606080"/>
        <c:crosses val="autoZero"/>
        <c:auto val="1"/>
        <c:lblAlgn val="ctr"/>
        <c:lblOffset val="100"/>
        <c:noMultiLvlLbl val="0"/>
      </c:catAx>
      <c:valAx>
        <c:axId val="3946060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945975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Gender!$B$16</c:f>
              <c:strCache>
                <c:ptCount val="1"/>
                <c:pt idx="0">
                  <c:v>Adults with disability</c:v>
                </c:pt>
              </c:strCache>
            </c:strRef>
          </c:tx>
          <c:spPr>
            <a:solidFill>
              <a:schemeClr val="accent2">
                <a:shade val="76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Gender!$A$17:$A$19</c:f>
              <c:strCache>
                <c:ptCount val="3"/>
                <c:pt idx="0">
                  <c:v>Female</c:v>
                </c:pt>
                <c:pt idx="1">
                  <c:v>Male</c:v>
                </c:pt>
                <c:pt idx="2">
                  <c:v>Not stated</c:v>
                </c:pt>
              </c:strCache>
            </c:strRef>
          </c:cat>
          <c:val>
            <c:numRef>
              <c:f>Gender!$B$17:$B$19</c:f>
              <c:numCache>
                <c:formatCode>General</c:formatCode>
                <c:ptCount val="3"/>
                <c:pt idx="0" formatCode="#,##0">
                  <c:v>168</c:v>
                </c:pt>
                <c:pt idx="1">
                  <c:v>146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55C-414D-A7E1-824BFA5E654D}"/>
            </c:ext>
          </c:extLst>
        </c:ser>
        <c:ser>
          <c:idx val="1"/>
          <c:order val="1"/>
          <c:tx>
            <c:strRef>
              <c:f>Gender!$C$16</c:f>
              <c:strCache>
                <c:ptCount val="1"/>
                <c:pt idx="0">
                  <c:v>Older people</c:v>
                </c:pt>
              </c:strCache>
            </c:strRef>
          </c:tx>
          <c:spPr>
            <a:solidFill>
              <a:schemeClr val="accent2">
                <a:tint val="77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55C-414D-A7E1-824BFA5E654D}"/>
                </c:ext>
              </c:extLst>
            </c:dLbl>
            <c:dLbl>
              <c:idx val="1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55C-414D-A7E1-824BFA5E654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Gender!$A$17:$A$19</c:f>
              <c:strCache>
                <c:ptCount val="3"/>
                <c:pt idx="0">
                  <c:v>Female</c:v>
                </c:pt>
                <c:pt idx="1">
                  <c:v>Male</c:v>
                </c:pt>
                <c:pt idx="2">
                  <c:v>Not stated</c:v>
                </c:pt>
              </c:strCache>
            </c:strRef>
          </c:cat>
          <c:val>
            <c:numRef>
              <c:f>Gender!$C$17:$C$19</c:f>
              <c:numCache>
                <c:formatCode>General</c:formatCode>
                <c:ptCount val="3"/>
                <c:pt idx="0">
                  <c:v>653</c:v>
                </c:pt>
                <c:pt idx="1">
                  <c:v>371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55C-414D-A7E1-824BFA5E654D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394605096"/>
        <c:axId val="394599848"/>
      </c:barChart>
      <c:catAx>
        <c:axId val="3946050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94599848"/>
        <c:crosses val="autoZero"/>
        <c:auto val="1"/>
        <c:lblAlgn val="ctr"/>
        <c:lblOffset val="100"/>
        <c:noMultiLvlLbl val="0"/>
      </c:catAx>
      <c:valAx>
        <c:axId val="3945998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946050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Age!$B$18:$B$29</c:f>
              <c:strCache>
                <c:ptCount val="12"/>
                <c:pt idx="0">
                  <c:v>50-54</c:v>
                </c:pt>
                <c:pt idx="1">
                  <c:v>55-59</c:v>
                </c:pt>
                <c:pt idx="2">
                  <c:v>60-64</c:v>
                </c:pt>
                <c:pt idx="3">
                  <c:v>65-69</c:v>
                </c:pt>
                <c:pt idx="4">
                  <c:v>70-74</c:v>
                </c:pt>
                <c:pt idx="5">
                  <c:v>75-79</c:v>
                </c:pt>
                <c:pt idx="6">
                  <c:v>80-84</c:v>
                </c:pt>
                <c:pt idx="7">
                  <c:v>85-89</c:v>
                </c:pt>
                <c:pt idx="8">
                  <c:v>90-94</c:v>
                </c:pt>
                <c:pt idx="9">
                  <c:v>95-99</c:v>
                </c:pt>
                <c:pt idx="10">
                  <c:v>100+</c:v>
                </c:pt>
                <c:pt idx="11">
                  <c:v>Unknown</c:v>
                </c:pt>
              </c:strCache>
            </c:strRef>
          </c:cat>
          <c:val>
            <c:numRef>
              <c:f>Age!$C$18:$C$29</c:f>
              <c:numCache>
                <c:formatCode>General</c:formatCode>
                <c:ptCount val="12"/>
                <c:pt idx="0">
                  <c:v>1</c:v>
                </c:pt>
                <c:pt idx="1">
                  <c:v>3</c:v>
                </c:pt>
                <c:pt idx="2">
                  <c:v>4</c:v>
                </c:pt>
                <c:pt idx="3">
                  <c:v>74</c:v>
                </c:pt>
                <c:pt idx="4">
                  <c:v>140</c:v>
                </c:pt>
                <c:pt idx="5">
                  <c:v>170</c:v>
                </c:pt>
                <c:pt idx="6">
                  <c:v>208</c:v>
                </c:pt>
                <c:pt idx="7">
                  <c:v>156</c:v>
                </c:pt>
                <c:pt idx="8">
                  <c:v>103</c:v>
                </c:pt>
                <c:pt idx="9">
                  <c:v>36</c:v>
                </c:pt>
                <c:pt idx="10">
                  <c:v>10</c:v>
                </c:pt>
                <c:pt idx="11">
                  <c:v>120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7FB-4DD8-A8E6-2385663E78C6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617096112"/>
        <c:axId val="617093488"/>
      </c:barChart>
      <c:catAx>
        <c:axId val="617096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617093488"/>
        <c:crosses val="autoZero"/>
        <c:auto val="1"/>
        <c:lblAlgn val="ctr"/>
        <c:lblOffset val="100"/>
        <c:noMultiLvlLbl val="0"/>
      </c:catAx>
      <c:valAx>
        <c:axId val="6170934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6170961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Age!$B$3:$B$12</c:f>
              <c:strCache>
                <c:ptCount val="10"/>
                <c:pt idx="0">
                  <c:v>18-24</c:v>
                </c:pt>
                <c:pt idx="1">
                  <c:v>25-29</c:v>
                </c:pt>
                <c:pt idx="2">
                  <c:v>30-34</c:v>
                </c:pt>
                <c:pt idx="3">
                  <c:v>35-39</c:v>
                </c:pt>
                <c:pt idx="4">
                  <c:v>40-44</c:v>
                </c:pt>
                <c:pt idx="5">
                  <c:v>45-49</c:v>
                </c:pt>
                <c:pt idx="6">
                  <c:v>50-54</c:v>
                </c:pt>
                <c:pt idx="7">
                  <c:v>55-59</c:v>
                </c:pt>
                <c:pt idx="8">
                  <c:v>60-64</c:v>
                </c:pt>
                <c:pt idx="9">
                  <c:v>Unknown</c:v>
                </c:pt>
              </c:strCache>
            </c:strRef>
          </c:cat>
          <c:val>
            <c:numRef>
              <c:f>Age!$C$3:$C$12</c:f>
              <c:numCache>
                <c:formatCode>General</c:formatCode>
                <c:ptCount val="10"/>
                <c:pt idx="0">
                  <c:v>49</c:v>
                </c:pt>
                <c:pt idx="1">
                  <c:v>23</c:v>
                </c:pt>
                <c:pt idx="2">
                  <c:v>22</c:v>
                </c:pt>
                <c:pt idx="3">
                  <c:v>15</c:v>
                </c:pt>
                <c:pt idx="4">
                  <c:v>21</c:v>
                </c:pt>
                <c:pt idx="5">
                  <c:v>25</c:v>
                </c:pt>
                <c:pt idx="6">
                  <c:v>37</c:v>
                </c:pt>
                <c:pt idx="7">
                  <c:v>25</c:v>
                </c:pt>
                <c:pt idx="8">
                  <c:v>55</c:v>
                </c:pt>
                <c:pt idx="9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D26-46AC-B01A-A1EE9E7F0D23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82074224"/>
        <c:axId val="482074880"/>
      </c:barChart>
      <c:catAx>
        <c:axId val="482074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482074880"/>
        <c:crosses val="autoZero"/>
        <c:auto val="1"/>
        <c:lblAlgn val="ctr"/>
        <c:lblOffset val="100"/>
        <c:noMultiLvlLbl val="0"/>
      </c:catAx>
      <c:valAx>
        <c:axId val="4820748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4820742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Location!$A$3:$A$18</c:f>
              <c:strCache>
                <c:ptCount val="16"/>
                <c:pt idx="0">
                  <c:v>SE Sydney</c:v>
                </c:pt>
                <c:pt idx="1">
                  <c:v>SW Sydney</c:v>
                </c:pt>
                <c:pt idx="2">
                  <c:v>Hunter</c:v>
                </c:pt>
                <c:pt idx="3">
                  <c:v>Illawarra-Shoalhaven</c:v>
                </c:pt>
                <c:pt idx="4">
                  <c:v>Central Coast</c:v>
                </c:pt>
                <c:pt idx="5">
                  <c:v>Nepean Blue Mtns</c:v>
                </c:pt>
                <c:pt idx="6">
                  <c:v>Western Sydney</c:v>
                </c:pt>
                <c:pt idx="7">
                  <c:v>Northern Sydney</c:v>
                </c:pt>
                <c:pt idx="8">
                  <c:v>Western NSW</c:v>
                </c:pt>
                <c:pt idx="9">
                  <c:v>Sydney</c:v>
                </c:pt>
                <c:pt idx="10">
                  <c:v>Murrumbidgee</c:v>
                </c:pt>
                <c:pt idx="11">
                  <c:v>New England</c:v>
                </c:pt>
                <c:pt idx="12">
                  <c:v>Mid North Coast</c:v>
                </c:pt>
                <c:pt idx="13">
                  <c:v>Northern NSW</c:v>
                </c:pt>
                <c:pt idx="14">
                  <c:v>Southern NSW</c:v>
                </c:pt>
                <c:pt idx="15">
                  <c:v>Far West</c:v>
                </c:pt>
              </c:strCache>
            </c:strRef>
          </c:cat>
          <c:val>
            <c:numRef>
              <c:f>Location!$B$3:$B$18</c:f>
              <c:numCache>
                <c:formatCode>General</c:formatCode>
                <c:ptCount val="16"/>
                <c:pt idx="0">
                  <c:v>110</c:v>
                </c:pt>
                <c:pt idx="1">
                  <c:v>103</c:v>
                </c:pt>
                <c:pt idx="2">
                  <c:v>100</c:v>
                </c:pt>
                <c:pt idx="3">
                  <c:v>96</c:v>
                </c:pt>
                <c:pt idx="4">
                  <c:v>83</c:v>
                </c:pt>
                <c:pt idx="5">
                  <c:v>79</c:v>
                </c:pt>
                <c:pt idx="6">
                  <c:v>75</c:v>
                </c:pt>
                <c:pt idx="7">
                  <c:v>72</c:v>
                </c:pt>
                <c:pt idx="8">
                  <c:v>68</c:v>
                </c:pt>
                <c:pt idx="9">
                  <c:v>60</c:v>
                </c:pt>
                <c:pt idx="10">
                  <c:v>45</c:v>
                </c:pt>
                <c:pt idx="11">
                  <c:v>43</c:v>
                </c:pt>
                <c:pt idx="12">
                  <c:v>42</c:v>
                </c:pt>
                <c:pt idx="13">
                  <c:v>40</c:v>
                </c:pt>
                <c:pt idx="14">
                  <c:v>12</c:v>
                </c:pt>
                <c:pt idx="15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B76-4EA7-9DF5-D33DB0283F77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451737968"/>
        <c:axId val="451745184"/>
      </c:barChart>
      <c:catAx>
        <c:axId val="4517379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451745184"/>
        <c:crosses val="autoZero"/>
        <c:auto val="1"/>
        <c:lblAlgn val="ctr"/>
        <c:lblOffset val="100"/>
        <c:noMultiLvlLbl val="0"/>
      </c:catAx>
      <c:valAx>
        <c:axId val="45174518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4517379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'Reporter relationship'!$A$22:$A$35</c:f>
              <c:strCache>
                <c:ptCount val="14"/>
                <c:pt idx="0">
                  <c:v>Primary carer</c:v>
                </c:pt>
                <c:pt idx="1">
                  <c:v>Parent</c:v>
                </c:pt>
                <c:pt idx="2">
                  <c:v>Unknown</c:v>
                </c:pt>
                <c:pt idx="3">
                  <c:v>Advocate</c:v>
                </c:pt>
                <c:pt idx="4">
                  <c:v>Spouse or partner</c:v>
                </c:pt>
                <c:pt idx="5">
                  <c:v>Sibling</c:v>
                </c:pt>
                <c:pt idx="6">
                  <c:v>Neighbour</c:v>
                </c:pt>
                <c:pt idx="7">
                  <c:v>Grandchild</c:v>
                </c:pt>
                <c:pt idx="8">
                  <c:v>Other</c:v>
                </c:pt>
                <c:pt idx="9">
                  <c:v>Friend</c:v>
                </c:pt>
                <c:pt idx="10">
                  <c:v>Other relative</c:v>
                </c:pt>
                <c:pt idx="11">
                  <c:v>Person experiencing abuse</c:v>
                </c:pt>
                <c:pt idx="12">
                  <c:v>Child</c:v>
                </c:pt>
                <c:pt idx="13">
                  <c:v>Paid worker</c:v>
                </c:pt>
              </c:strCache>
            </c:strRef>
          </c:cat>
          <c:val>
            <c:numRef>
              <c:f>'Reporter relationship'!$B$22:$B$35</c:f>
              <c:numCache>
                <c:formatCode>General</c:formatCode>
                <c:ptCount val="14"/>
                <c:pt idx="0">
                  <c:v>2</c:v>
                </c:pt>
                <c:pt idx="1">
                  <c:v>5</c:v>
                </c:pt>
                <c:pt idx="2">
                  <c:v>9</c:v>
                </c:pt>
                <c:pt idx="3">
                  <c:v>9</c:v>
                </c:pt>
                <c:pt idx="4">
                  <c:v>16</c:v>
                </c:pt>
                <c:pt idx="5">
                  <c:v>24</c:v>
                </c:pt>
                <c:pt idx="6">
                  <c:v>39</c:v>
                </c:pt>
                <c:pt idx="7">
                  <c:v>42</c:v>
                </c:pt>
                <c:pt idx="8">
                  <c:v>49</c:v>
                </c:pt>
                <c:pt idx="9">
                  <c:v>62</c:v>
                </c:pt>
                <c:pt idx="10">
                  <c:v>69</c:v>
                </c:pt>
                <c:pt idx="11">
                  <c:v>140</c:v>
                </c:pt>
                <c:pt idx="12">
                  <c:v>263</c:v>
                </c:pt>
                <c:pt idx="13">
                  <c:v>296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677-4712-8C69-4F6E6FBCEEBE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489714488"/>
        <c:axId val="489721048"/>
      </c:barChart>
      <c:catAx>
        <c:axId val="4897144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489721048"/>
        <c:crosses val="autoZero"/>
        <c:auto val="1"/>
        <c:lblAlgn val="ctr"/>
        <c:lblOffset val="100"/>
        <c:noMultiLvlLbl val="0"/>
      </c:catAx>
      <c:valAx>
        <c:axId val="4897210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4897144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'Reporter relationship'!$A$6:$A$17</c:f>
              <c:strCache>
                <c:ptCount val="12"/>
                <c:pt idx="0">
                  <c:v>Spouse/partner</c:v>
                </c:pt>
                <c:pt idx="1">
                  <c:v>Grandchild</c:v>
                </c:pt>
                <c:pt idx="2">
                  <c:v>Advocate</c:v>
                </c:pt>
                <c:pt idx="3">
                  <c:v>Neighbour</c:v>
                </c:pt>
                <c:pt idx="4">
                  <c:v>Sibling</c:v>
                </c:pt>
                <c:pt idx="5">
                  <c:v>Parent</c:v>
                </c:pt>
                <c:pt idx="6">
                  <c:v>Friend</c:v>
                </c:pt>
                <c:pt idx="7">
                  <c:v>Child</c:v>
                </c:pt>
                <c:pt idx="8">
                  <c:v>Other relative</c:v>
                </c:pt>
                <c:pt idx="9">
                  <c:v>Other</c:v>
                </c:pt>
                <c:pt idx="10">
                  <c:v>Person experiencing abuse</c:v>
                </c:pt>
                <c:pt idx="11">
                  <c:v>Paid worker</c:v>
                </c:pt>
              </c:strCache>
            </c:strRef>
          </c:cat>
          <c:val>
            <c:numRef>
              <c:f>'Reporter relationship'!$B$6:$B$17</c:f>
              <c:numCache>
                <c:formatCode>General</c:formatCode>
                <c:ptCount val="12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8</c:v>
                </c:pt>
                <c:pt idx="5">
                  <c:v>9</c:v>
                </c:pt>
                <c:pt idx="6">
                  <c:v>9</c:v>
                </c:pt>
                <c:pt idx="7">
                  <c:v>9</c:v>
                </c:pt>
                <c:pt idx="8">
                  <c:v>12</c:v>
                </c:pt>
                <c:pt idx="9">
                  <c:v>28</c:v>
                </c:pt>
                <c:pt idx="10">
                  <c:v>40</c:v>
                </c:pt>
                <c:pt idx="11">
                  <c:v>187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468-4F1A-98A3-C2F7260F86B7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563833056"/>
        <c:axId val="563834368"/>
      </c:barChart>
      <c:catAx>
        <c:axId val="56383305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63834368"/>
        <c:crosses val="autoZero"/>
        <c:auto val="1"/>
        <c:lblAlgn val="ctr"/>
        <c:lblOffset val="100"/>
        <c:noMultiLvlLbl val="0"/>
      </c:catAx>
      <c:valAx>
        <c:axId val="56383436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638330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11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12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13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2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3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4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5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6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7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8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9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06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Slice">
  <a:themeElements>
    <a:clrScheme name="Custom 1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0D88A7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B1916-B2C1-4970-91AB-C0B99A4DA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2069</Words>
  <Characters>11795</Characters>
  <Application>Microsoft Office Word</Application>
  <DocSecurity>4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Family &amp; Community Services</Company>
  <LinksUpToDate>false</LinksUpToDate>
  <CharactersWithSpaces>13837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McKenzie</dc:creator>
  <cp:keywords/>
  <dc:description/>
  <cp:lastModifiedBy>Anna Gauci</cp:lastModifiedBy>
  <cp:revision>2</cp:revision>
  <cp:lastPrinted>2022-04-10T12:42:00Z</cp:lastPrinted>
  <dcterms:created xsi:type="dcterms:W3CDTF">2024-08-28T04:51:00Z</dcterms:created>
  <dcterms:modified xsi:type="dcterms:W3CDTF">2024-08-28T04:51:00Z</dcterms:modified>
</cp:coreProperties>
</file>